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hint="eastAsia" w:ascii="仿宋" w:hAnsi="仿宋" w:eastAsia="仿宋" w:cs="仿宋"/>
          <w:kern w:val="2"/>
          <w:sz w:val="32"/>
          <w:szCs w:val="32"/>
          <w:lang w:val="en-US" w:eastAsia="zh-CN" w:bidi="ar-SA"/>
        </w:rPr>
        <w:id w:val="147466653"/>
        <w15:color w:val="DBDBDB"/>
        <w:docPartObj>
          <w:docPartGallery w:val="Table of Contents"/>
          <w:docPartUnique/>
        </w:docPartObj>
      </w:sdtPr>
      <w:sdtEndPr>
        <w:rPr>
          <w:rFonts w:hint="eastAsia" w:ascii="黑体" w:hAnsi="黑体" w:eastAsia="黑体" w:cs="黑体"/>
          <w:b/>
          <w:bCs/>
          <w:color w:val="auto"/>
          <w:kern w:val="32"/>
          <w:sz w:val="32"/>
          <w:szCs w:val="44"/>
          <w:u w:val="none" w:color="auto"/>
          <w:lang w:val="zh-CN" w:eastAsia="zh-CN" w:bidi="ar-SA"/>
        </w:rPr>
      </w:sdtEndPr>
      <w:sdtContent>
        <w:p>
          <w:pPr>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center"/>
            <w:textAlignment w:val="auto"/>
            <w:rPr>
              <w:rFonts w:hint="eastAsia" w:ascii="仿宋" w:hAnsi="仿宋" w:eastAsia="仿宋" w:cs="仿宋"/>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ind w:right="0" w:rightChars="0"/>
            <w:jc w:val="center"/>
            <w:textAlignment w:val="auto"/>
            <w:rPr>
              <w:rFonts w:hint="eastAsia" w:ascii="黑体" w:hAnsi="黑体" w:eastAsia="黑体" w:cs="黑体"/>
              <w:kern w:val="2"/>
              <w:sz w:val="72"/>
              <w:szCs w:val="72"/>
              <w:lang w:val="en-US" w:eastAsia="zh-CN" w:bidi="ar-SA"/>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ind w:right="0" w:rightChars="0"/>
            <w:jc w:val="center"/>
            <w:textAlignment w:val="auto"/>
            <w:rPr>
              <w:rFonts w:hint="eastAsia" w:ascii="黑体" w:hAnsi="黑体" w:eastAsia="黑体" w:cs="黑体"/>
              <w:kern w:val="2"/>
              <w:sz w:val="56"/>
              <w:szCs w:val="56"/>
              <w:lang w:val="en-US" w:eastAsia="zh-CN" w:bidi="ar-SA"/>
            </w:rPr>
          </w:pPr>
          <w:r>
            <w:rPr>
              <w:rFonts w:hint="eastAsia" w:ascii="黑体" w:hAnsi="黑体" w:eastAsia="黑体" w:cs="黑体"/>
              <w:kern w:val="2"/>
              <w:sz w:val="56"/>
              <w:szCs w:val="56"/>
              <w:lang w:val="en-US" w:eastAsia="zh-CN" w:bidi="ar-SA"/>
            </w:rPr>
            <w:t>济宁市优化营商环境条例（草案）</w:t>
          </w:r>
        </w:p>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ind w:right="0" w:rightChars="0"/>
            <w:jc w:val="center"/>
            <w:textAlignment w:val="auto"/>
            <w:rPr>
              <w:rFonts w:hint="eastAsia" w:ascii="宋体" w:hAnsi="宋体" w:eastAsia="宋体" w:cs="宋体"/>
              <w:kern w:val="2"/>
              <w:sz w:val="48"/>
              <w:szCs w:val="48"/>
              <w:lang w:val="en-US" w:eastAsia="zh-CN" w:bidi="ar-SA"/>
            </w:rPr>
          </w:pPr>
          <w:r>
            <w:rPr>
              <w:rFonts w:hint="eastAsia" w:ascii="宋体" w:hAnsi="宋体" w:eastAsia="宋体" w:cs="宋体"/>
              <w:kern w:val="2"/>
              <w:sz w:val="48"/>
              <w:szCs w:val="48"/>
              <w:lang w:val="en-US" w:eastAsia="zh-CN" w:bidi="ar-SA"/>
            </w:rPr>
            <w:t>（征求意见稿）</w:t>
          </w:r>
        </w:p>
        <w:p>
          <w:pPr>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center"/>
            <w:textAlignment w:val="auto"/>
            <w:rPr>
              <w:rFonts w:hint="eastAsia" w:ascii="仿宋" w:hAnsi="仿宋" w:eastAsia="仿宋" w:cs="仿宋"/>
              <w:kern w:val="2"/>
              <w:sz w:val="32"/>
              <w:szCs w:val="32"/>
              <w:lang w:val="en-US" w:eastAsia="zh-CN" w:bidi="ar-SA"/>
            </w:rPr>
          </w:pPr>
        </w:p>
        <w:p>
          <w:pPr>
            <w:keepNext w:val="0"/>
            <w:keepLines w:val="0"/>
            <w:pageBreakBefore w:val="0"/>
            <w:kinsoku/>
            <w:wordWrap/>
            <w:overflowPunct/>
            <w:topLinePunct w:val="0"/>
            <w:autoSpaceDE/>
            <w:autoSpaceDN/>
            <w:bidi w:val="0"/>
            <w:adjustRightInd/>
            <w:snapToGrid/>
            <w:spacing w:before="0" w:beforeLines="0" w:after="0" w:afterLines="0" w:line="1000" w:lineRule="exact"/>
            <w:ind w:left="0" w:leftChars="0" w:right="0" w:rightChars="0" w:firstLine="964" w:firstLineChars="200"/>
            <w:jc w:val="center"/>
            <w:textAlignment w:val="auto"/>
            <w:rPr>
              <w:rFonts w:hint="eastAsia" w:ascii="黑体" w:hAnsi="黑体" w:eastAsia="黑体" w:cs="黑体"/>
              <w:b/>
              <w:bCs/>
              <w:sz w:val="48"/>
              <w:szCs w:val="48"/>
            </w:rPr>
          </w:pPr>
        </w:p>
        <w:p>
          <w:pPr>
            <w:keepNext w:val="0"/>
            <w:keepLines w:val="0"/>
            <w:pageBreakBefore w:val="0"/>
            <w:kinsoku/>
            <w:wordWrap/>
            <w:overflowPunct/>
            <w:topLinePunct w:val="0"/>
            <w:autoSpaceDE/>
            <w:autoSpaceDN/>
            <w:bidi w:val="0"/>
            <w:adjustRightInd/>
            <w:snapToGrid/>
            <w:spacing w:before="0" w:beforeLines="0" w:after="0" w:afterLines="0" w:line="1000" w:lineRule="exact"/>
            <w:ind w:left="0" w:leftChars="0" w:right="0" w:rightChars="0" w:firstLine="964" w:firstLineChars="200"/>
            <w:jc w:val="center"/>
            <w:textAlignment w:val="auto"/>
            <w:rPr>
              <w:rFonts w:hint="eastAsia" w:ascii="黑体" w:hAnsi="黑体" w:eastAsia="黑体" w:cs="黑体"/>
              <w:b/>
              <w:bCs/>
              <w:sz w:val="48"/>
              <w:szCs w:val="48"/>
            </w:rPr>
          </w:pPr>
        </w:p>
        <w:p>
          <w:pPr>
            <w:keepNext w:val="0"/>
            <w:keepLines w:val="0"/>
            <w:pageBreakBefore w:val="0"/>
            <w:kinsoku/>
            <w:wordWrap/>
            <w:overflowPunct/>
            <w:topLinePunct w:val="0"/>
            <w:autoSpaceDE/>
            <w:autoSpaceDN/>
            <w:bidi w:val="0"/>
            <w:adjustRightInd/>
            <w:snapToGrid/>
            <w:spacing w:before="0" w:beforeLines="0" w:after="0" w:afterLines="0" w:line="1000" w:lineRule="exact"/>
            <w:ind w:left="0" w:leftChars="0" w:right="0" w:rightChars="0" w:firstLine="964" w:firstLineChars="200"/>
            <w:jc w:val="center"/>
            <w:textAlignment w:val="auto"/>
            <w:rPr>
              <w:rFonts w:hint="eastAsia" w:ascii="黑体" w:hAnsi="黑体" w:eastAsia="黑体" w:cs="黑体"/>
              <w:b/>
              <w:bCs/>
              <w:sz w:val="48"/>
              <w:szCs w:val="48"/>
            </w:rPr>
          </w:pPr>
        </w:p>
        <w:p>
          <w:pPr>
            <w:keepNext w:val="0"/>
            <w:keepLines w:val="0"/>
            <w:pageBreakBefore w:val="0"/>
            <w:kinsoku/>
            <w:wordWrap/>
            <w:overflowPunct/>
            <w:topLinePunct w:val="0"/>
            <w:autoSpaceDE/>
            <w:autoSpaceDN/>
            <w:bidi w:val="0"/>
            <w:adjustRightInd/>
            <w:snapToGrid/>
            <w:spacing w:before="0" w:beforeLines="0" w:after="0" w:afterLines="0" w:line="1000" w:lineRule="exact"/>
            <w:ind w:left="0" w:leftChars="0" w:right="0" w:rightChars="0" w:firstLine="964" w:firstLineChars="200"/>
            <w:jc w:val="center"/>
            <w:textAlignment w:val="auto"/>
            <w:rPr>
              <w:rFonts w:hint="eastAsia" w:ascii="黑体" w:hAnsi="黑体" w:eastAsia="黑体" w:cs="黑体"/>
              <w:b/>
              <w:bCs/>
              <w:sz w:val="48"/>
              <w:szCs w:val="48"/>
            </w:rPr>
          </w:pPr>
        </w:p>
        <w:p>
          <w:pPr>
            <w:keepNext w:val="0"/>
            <w:keepLines w:val="0"/>
            <w:pageBreakBefore w:val="0"/>
            <w:kinsoku/>
            <w:wordWrap/>
            <w:overflowPunct/>
            <w:topLinePunct w:val="0"/>
            <w:autoSpaceDE/>
            <w:autoSpaceDN/>
            <w:bidi w:val="0"/>
            <w:adjustRightInd/>
            <w:snapToGrid/>
            <w:spacing w:before="0" w:beforeLines="0" w:after="0" w:afterLines="0" w:line="1000" w:lineRule="exact"/>
            <w:ind w:left="0" w:leftChars="0" w:right="0" w:rightChars="0" w:firstLine="964" w:firstLineChars="200"/>
            <w:jc w:val="center"/>
            <w:textAlignment w:val="auto"/>
            <w:rPr>
              <w:rFonts w:hint="eastAsia" w:ascii="黑体" w:hAnsi="黑体" w:eastAsia="黑体" w:cs="黑体"/>
              <w:b/>
              <w:bCs/>
              <w:sz w:val="48"/>
              <w:szCs w:val="48"/>
            </w:rPr>
          </w:pPr>
        </w:p>
        <w:p>
          <w:pPr>
            <w:keepNext w:val="0"/>
            <w:keepLines w:val="0"/>
            <w:pageBreakBefore w:val="0"/>
            <w:kinsoku/>
            <w:wordWrap/>
            <w:overflowPunct/>
            <w:topLinePunct w:val="0"/>
            <w:autoSpaceDE/>
            <w:autoSpaceDN/>
            <w:bidi w:val="0"/>
            <w:adjustRightInd/>
            <w:snapToGrid/>
            <w:spacing w:before="0" w:beforeLines="0" w:after="0" w:afterLines="0" w:line="1000" w:lineRule="exact"/>
            <w:ind w:left="0" w:leftChars="0" w:right="0" w:rightChars="0" w:firstLine="964" w:firstLineChars="200"/>
            <w:jc w:val="center"/>
            <w:textAlignment w:val="auto"/>
            <w:rPr>
              <w:rFonts w:hint="eastAsia" w:ascii="黑体" w:hAnsi="黑体" w:eastAsia="黑体" w:cs="黑体"/>
              <w:b/>
              <w:bCs/>
              <w:sz w:val="48"/>
              <w:szCs w:val="48"/>
            </w:rPr>
          </w:pPr>
        </w:p>
        <w:p>
          <w:pPr>
            <w:keepNext w:val="0"/>
            <w:keepLines w:val="0"/>
            <w:pageBreakBefore w:val="0"/>
            <w:kinsoku/>
            <w:wordWrap/>
            <w:overflowPunct/>
            <w:topLinePunct w:val="0"/>
            <w:autoSpaceDE/>
            <w:autoSpaceDN/>
            <w:bidi w:val="0"/>
            <w:adjustRightInd/>
            <w:snapToGrid/>
            <w:spacing w:before="0" w:beforeLines="0" w:after="0" w:afterLines="0" w:line="1000" w:lineRule="exact"/>
            <w:ind w:left="0" w:leftChars="0" w:right="0" w:rightChars="0" w:firstLine="964" w:firstLineChars="200"/>
            <w:jc w:val="center"/>
            <w:textAlignment w:val="auto"/>
            <w:rPr>
              <w:rFonts w:hint="eastAsia" w:ascii="黑体" w:hAnsi="黑体" w:eastAsia="黑体" w:cs="黑体"/>
              <w:b/>
              <w:bCs/>
              <w:sz w:val="48"/>
              <w:szCs w:val="48"/>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ind w:right="0" w:rightChars="0"/>
            <w:jc w:val="center"/>
            <w:textAlignment w:val="auto"/>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济宁市行政审批服务局</w:t>
          </w:r>
        </w:p>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ind w:right="0" w:rightChars="0"/>
            <w:jc w:val="center"/>
            <w:textAlignment w:val="auto"/>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2022.5</w:t>
          </w:r>
        </w:p>
        <w:p>
          <w:pPr>
            <w:keepNext w:val="0"/>
            <w:keepLines w:val="0"/>
            <w:pageBreakBefore w:val="0"/>
            <w:kinsoku/>
            <w:wordWrap/>
            <w:overflowPunct/>
            <w:topLinePunct w:val="0"/>
            <w:autoSpaceDE/>
            <w:autoSpaceDN/>
            <w:bidi w:val="0"/>
            <w:adjustRightInd/>
            <w:snapToGrid/>
            <w:spacing w:before="0" w:beforeLines="0" w:after="0" w:afterLines="0" w:line="1000" w:lineRule="exact"/>
            <w:ind w:right="0" w:rightChars="0"/>
            <w:jc w:val="both"/>
            <w:textAlignment w:val="auto"/>
            <w:rPr>
              <w:rFonts w:hint="eastAsia" w:ascii="黑体" w:hAnsi="黑体" w:eastAsia="黑体" w:cs="黑体"/>
              <w:b/>
              <w:bCs/>
              <w:sz w:val="48"/>
              <w:szCs w:val="48"/>
            </w:rPr>
          </w:pPr>
        </w:p>
        <w:p>
          <w:pPr>
            <w:keepNext w:val="0"/>
            <w:keepLines w:val="0"/>
            <w:pageBreakBefore w:val="0"/>
            <w:kinsoku/>
            <w:wordWrap/>
            <w:overflowPunct/>
            <w:topLinePunct w:val="0"/>
            <w:autoSpaceDE/>
            <w:autoSpaceDN/>
            <w:bidi w:val="0"/>
            <w:adjustRightInd/>
            <w:snapToGrid/>
            <w:spacing w:before="0" w:beforeLines="0" w:after="0" w:afterLines="0" w:line="1000" w:lineRule="exact"/>
            <w:ind w:right="0" w:rightChars="0"/>
            <w:jc w:val="both"/>
            <w:textAlignment w:val="auto"/>
            <w:rPr>
              <w:rFonts w:hint="eastAsia" w:ascii="黑体" w:hAnsi="黑体" w:eastAsia="黑体" w:cs="黑体"/>
              <w:b/>
              <w:bCs/>
              <w:sz w:val="48"/>
              <w:szCs w:val="48"/>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p>
        <w:p>
          <w:pPr>
            <w:keepNext w:val="0"/>
            <w:keepLines w:val="0"/>
            <w:pageBreakBefore w:val="0"/>
            <w:kinsoku/>
            <w:wordWrap/>
            <w:overflowPunct/>
            <w:topLinePunct w:val="0"/>
            <w:autoSpaceDE/>
            <w:autoSpaceDN/>
            <w:bidi w:val="0"/>
            <w:adjustRightInd/>
            <w:snapToGrid/>
            <w:spacing w:before="0" w:beforeLines="0" w:after="0" w:afterLines="0" w:line="1000" w:lineRule="exact"/>
            <w:ind w:right="0" w:rightChars="0"/>
            <w:jc w:val="both"/>
            <w:textAlignment w:val="auto"/>
            <w:rPr>
              <w:rFonts w:hint="eastAsia" w:ascii="黑体" w:hAnsi="黑体" w:eastAsia="黑体" w:cs="黑体"/>
              <w:b/>
              <w:bCs/>
              <w:sz w:val="48"/>
              <w:szCs w:val="48"/>
            </w:rPr>
          </w:pPr>
        </w:p>
        <w:p>
          <w:pPr>
            <w:keepNext w:val="0"/>
            <w:keepLines w:val="0"/>
            <w:pageBreakBefore w:val="0"/>
            <w:kinsoku/>
            <w:wordWrap/>
            <w:overflowPunct/>
            <w:topLinePunct w:val="0"/>
            <w:autoSpaceDE/>
            <w:autoSpaceDN/>
            <w:bidi w:val="0"/>
            <w:adjustRightInd/>
            <w:snapToGrid/>
            <w:spacing w:before="0" w:beforeLines="0" w:after="0" w:afterLines="0" w:line="1000" w:lineRule="exact"/>
            <w:ind w:left="0" w:leftChars="0" w:right="0" w:rightChars="0" w:firstLine="964" w:firstLineChars="200"/>
            <w:jc w:val="center"/>
            <w:textAlignment w:val="auto"/>
            <w:rPr>
              <w:rFonts w:hint="eastAsia" w:ascii="黑体" w:hAnsi="黑体" w:eastAsia="黑体" w:cs="黑体"/>
              <w:b/>
              <w:bCs/>
              <w:sz w:val="48"/>
              <w:szCs w:val="48"/>
            </w:rPr>
          </w:pPr>
          <w:r>
            <w:rPr>
              <w:rFonts w:hint="eastAsia" w:ascii="黑体" w:hAnsi="黑体" w:eastAsia="黑体" w:cs="黑体"/>
              <w:b/>
              <w:bCs/>
              <w:sz w:val="48"/>
              <w:szCs w:val="48"/>
            </w:rPr>
            <w:t>目</w:t>
          </w:r>
          <w:r>
            <w:rPr>
              <w:rFonts w:hint="eastAsia" w:ascii="黑体" w:hAnsi="黑体" w:eastAsia="黑体" w:cs="黑体"/>
              <w:b/>
              <w:bCs/>
              <w:sz w:val="48"/>
              <w:szCs w:val="48"/>
              <w:lang w:val="en-US" w:eastAsia="zh-CN"/>
            </w:rPr>
            <w:t xml:space="preserve"> </w:t>
          </w:r>
          <w:r>
            <w:rPr>
              <w:rFonts w:hint="eastAsia" w:ascii="黑体" w:hAnsi="黑体" w:eastAsia="黑体" w:cs="黑体"/>
              <w:b/>
              <w:bCs/>
              <w:sz w:val="48"/>
              <w:szCs w:val="48"/>
            </w:rPr>
            <w:t>录</w:t>
          </w:r>
        </w:p>
        <w:p>
          <w:pPr>
            <w:pStyle w:val="10"/>
            <w:keepNext w:val="0"/>
            <w:keepLines w:val="0"/>
            <w:pageBreakBefore w:val="0"/>
            <w:tabs>
              <w:tab w:val="right" w:leader="dot" w:pos="8306"/>
            </w:tabs>
            <w:kinsoku/>
            <w:wordWrap/>
            <w:overflowPunct/>
            <w:topLinePunct w:val="0"/>
            <w:autoSpaceDE/>
            <w:autoSpaceDN/>
            <w:bidi w:val="0"/>
            <w:adjustRightInd/>
            <w:snapToGrid/>
            <w:spacing w:line="1000" w:lineRule="exact"/>
            <w:ind w:firstLine="643" w:firstLineChars="200"/>
            <w:textAlignment w:val="auto"/>
            <w:rPr>
              <w:rFonts w:hint="eastAsia" w:ascii="黑体" w:hAnsi="黑体" w:eastAsia="黑体" w:cs="黑体"/>
              <w:sz w:val="32"/>
              <w:szCs w:val="32"/>
            </w:rPr>
          </w:pPr>
          <w:r>
            <w:rPr>
              <w:rFonts w:hint="eastAsia" w:ascii="黑体" w:hAnsi="黑体" w:eastAsia="黑体" w:cs="黑体"/>
              <w:b/>
              <w:bCs/>
              <w:color w:val="auto"/>
              <w:sz w:val="32"/>
              <w:szCs w:val="32"/>
              <w:u w:val="none" w:color="auto"/>
              <w:lang w:val="zh-CN" w:eastAsia="zh-CN"/>
            </w:rPr>
            <w:fldChar w:fldCharType="begin"/>
          </w:r>
          <w:r>
            <w:rPr>
              <w:rFonts w:hint="eastAsia" w:ascii="黑体" w:hAnsi="黑体" w:eastAsia="黑体" w:cs="黑体"/>
              <w:b/>
              <w:bCs/>
              <w:color w:val="auto"/>
              <w:sz w:val="32"/>
              <w:szCs w:val="32"/>
              <w:u w:val="none" w:color="auto"/>
              <w:lang w:val="zh-CN" w:eastAsia="zh-CN"/>
            </w:rPr>
            <w:instrText xml:space="preserve">TOC \o "1-1" \h \u </w:instrText>
          </w:r>
          <w:r>
            <w:rPr>
              <w:rFonts w:hint="eastAsia" w:ascii="黑体" w:hAnsi="黑体" w:eastAsia="黑体" w:cs="黑体"/>
              <w:b/>
              <w:bCs/>
              <w:color w:val="auto"/>
              <w:sz w:val="32"/>
              <w:szCs w:val="32"/>
              <w:u w:val="none" w:color="auto"/>
              <w:lang w:val="zh-CN" w:eastAsia="zh-CN"/>
            </w:rPr>
            <w:fldChar w:fldCharType="separate"/>
          </w:r>
          <w:r>
            <w:rPr>
              <w:rFonts w:hint="eastAsia" w:ascii="黑体" w:hAnsi="黑体" w:eastAsia="黑体" w:cs="黑体"/>
              <w:bCs/>
              <w:color w:val="auto"/>
              <w:sz w:val="32"/>
              <w:szCs w:val="32"/>
              <w:u w:val="none" w:color="auto"/>
              <w:lang w:val="zh-CN" w:eastAsia="zh-CN"/>
            </w:rPr>
            <w:fldChar w:fldCharType="begin"/>
          </w:r>
          <w:r>
            <w:rPr>
              <w:rFonts w:hint="eastAsia" w:ascii="黑体" w:hAnsi="黑体" w:eastAsia="黑体" w:cs="黑体"/>
              <w:bCs/>
              <w:sz w:val="32"/>
              <w:szCs w:val="32"/>
              <w:lang w:val="zh-CN" w:eastAsia="zh-CN"/>
            </w:rPr>
            <w:instrText xml:space="preserve"> HYPERLINK \l _Toc20706 </w:instrText>
          </w:r>
          <w:r>
            <w:rPr>
              <w:rFonts w:hint="eastAsia" w:ascii="黑体" w:hAnsi="黑体" w:eastAsia="黑体" w:cs="黑体"/>
              <w:bCs/>
              <w:sz w:val="32"/>
              <w:szCs w:val="32"/>
              <w:lang w:val="zh-CN" w:eastAsia="zh-CN"/>
            </w:rPr>
            <w:fldChar w:fldCharType="separate"/>
          </w:r>
          <w:r>
            <w:rPr>
              <w:rFonts w:hint="eastAsia" w:ascii="黑体" w:hAnsi="黑体" w:eastAsia="黑体" w:cs="黑体"/>
              <w:sz w:val="32"/>
              <w:szCs w:val="32"/>
              <w:lang w:val="en-US" w:eastAsia="zh-CN"/>
            </w:rPr>
            <w:t>第一章 总则</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_Toc20706 \h </w:instrText>
          </w:r>
          <w:r>
            <w:rPr>
              <w:rFonts w:hint="eastAsia" w:ascii="黑体" w:hAnsi="黑体" w:eastAsia="黑体" w:cs="黑体"/>
              <w:sz w:val="32"/>
              <w:szCs w:val="32"/>
            </w:rPr>
            <w:fldChar w:fldCharType="separate"/>
          </w:r>
          <w:r>
            <w:rPr>
              <w:rFonts w:hint="eastAsia" w:ascii="黑体" w:hAnsi="黑体" w:eastAsia="黑体" w:cs="黑体"/>
              <w:sz w:val="32"/>
              <w:szCs w:val="32"/>
            </w:rPr>
            <w:t>2</w:t>
          </w:r>
          <w:r>
            <w:rPr>
              <w:rFonts w:hint="eastAsia" w:ascii="黑体" w:hAnsi="黑体" w:eastAsia="黑体" w:cs="黑体"/>
              <w:sz w:val="32"/>
              <w:szCs w:val="32"/>
            </w:rPr>
            <w:fldChar w:fldCharType="end"/>
          </w:r>
          <w:r>
            <w:rPr>
              <w:rFonts w:hint="eastAsia" w:ascii="黑体" w:hAnsi="黑体" w:eastAsia="黑体" w:cs="黑体"/>
              <w:bCs/>
              <w:color w:val="auto"/>
              <w:sz w:val="32"/>
              <w:szCs w:val="32"/>
              <w:u w:val="none" w:color="auto"/>
              <w:lang w:val="zh-CN" w:eastAsia="zh-CN"/>
            </w:rPr>
            <w:fldChar w:fldCharType="end"/>
          </w:r>
        </w:p>
        <w:p>
          <w:pPr>
            <w:pStyle w:val="10"/>
            <w:keepNext w:val="0"/>
            <w:keepLines w:val="0"/>
            <w:pageBreakBefore w:val="0"/>
            <w:tabs>
              <w:tab w:val="right" w:leader="dot" w:pos="8306"/>
            </w:tabs>
            <w:kinsoku/>
            <w:wordWrap/>
            <w:overflowPunct/>
            <w:topLinePunct w:val="0"/>
            <w:autoSpaceDE/>
            <w:autoSpaceDN/>
            <w:bidi w:val="0"/>
            <w:adjustRightInd/>
            <w:snapToGrid/>
            <w:spacing w:line="1000" w:lineRule="exact"/>
            <w:ind w:firstLine="640" w:firstLineChars="200"/>
            <w:textAlignment w:val="auto"/>
            <w:rPr>
              <w:rFonts w:hint="eastAsia" w:ascii="黑体" w:hAnsi="黑体" w:eastAsia="黑体" w:cs="黑体"/>
              <w:sz w:val="32"/>
              <w:szCs w:val="32"/>
            </w:rPr>
          </w:pPr>
          <w:r>
            <w:rPr>
              <w:rFonts w:hint="eastAsia" w:ascii="黑体" w:hAnsi="黑体" w:eastAsia="黑体" w:cs="黑体"/>
              <w:bCs/>
              <w:color w:val="auto"/>
              <w:sz w:val="32"/>
              <w:szCs w:val="32"/>
              <w:u w:val="none" w:color="auto"/>
              <w:lang w:val="zh-CN" w:eastAsia="zh-CN"/>
            </w:rPr>
            <w:fldChar w:fldCharType="begin"/>
          </w:r>
          <w:r>
            <w:rPr>
              <w:rFonts w:hint="eastAsia" w:ascii="黑体" w:hAnsi="黑体" w:eastAsia="黑体" w:cs="黑体"/>
              <w:bCs/>
              <w:sz w:val="32"/>
              <w:szCs w:val="32"/>
              <w:lang w:val="zh-CN" w:eastAsia="zh-CN"/>
            </w:rPr>
            <w:instrText xml:space="preserve"> HYPERLINK \l _Toc1289 </w:instrText>
          </w:r>
          <w:r>
            <w:rPr>
              <w:rFonts w:hint="eastAsia" w:ascii="黑体" w:hAnsi="黑体" w:eastAsia="黑体" w:cs="黑体"/>
              <w:bCs/>
              <w:sz w:val="32"/>
              <w:szCs w:val="32"/>
              <w:lang w:val="zh-CN" w:eastAsia="zh-CN"/>
            </w:rPr>
            <w:fldChar w:fldCharType="separate"/>
          </w:r>
          <w:r>
            <w:rPr>
              <w:rFonts w:hint="eastAsia" w:ascii="黑体" w:hAnsi="黑体" w:eastAsia="黑体" w:cs="黑体"/>
              <w:sz w:val="32"/>
              <w:szCs w:val="32"/>
              <w:lang w:val="en-US" w:eastAsia="zh-CN"/>
            </w:rPr>
            <w:t>第二章 市场主体保护与培育</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_Toc1289 \h </w:instrText>
          </w:r>
          <w:r>
            <w:rPr>
              <w:rFonts w:hint="eastAsia" w:ascii="黑体" w:hAnsi="黑体" w:eastAsia="黑体" w:cs="黑体"/>
              <w:sz w:val="32"/>
              <w:szCs w:val="32"/>
            </w:rPr>
            <w:fldChar w:fldCharType="separate"/>
          </w:r>
          <w:r>
            <w:rPr>
              <w:rFonts w:hint="eastAsia" w:ascii="黑体" w:hAnsi="黑体" w:eastAsia="黑体" w:cs="黑体"/>
              <w:sz w:val="32"/>
              <w:szCs w:val="32"/>
            </w:rPr>
            <w:t>5</w:t>
          </w:r>
          <w:r>
            <w:rPr>
              <w:rFonts w:hint="eastAsia" w:ascii="黑体" w:hAnsi="黑体" w:eastAsia="黑体" w:cs="黑体"/>
              <w:sz w:val="32"/>
              <w:szCs w:val="32"/>
            </w:rPr>
            <w:fldChar w:fldCharType="end"/>
          </w:r>
          <w:r>
            <w:rPr>
              <w:rFonts w:hint="eastAsia" w:ascii="黑体" w:hAnsi="黑体" w:eastAsia="黑体" w:cs="黑体"/>
              <w:bCs/>
              <w:color w:val="auto"/>
              <w:sz w:val="32"/>
              <w:szCs w:val="32"/>
              <w:u w:val="none" w:color="auto"/>
              <w:lang w:val="zh-CN" w:eastAsia="zh-CN"/>
            </w:rPr>
            <w:fldChar w:fldCharType="end"/>
          </w:r>
        </w:p>
        <w:p>
          <w:pPr>
            <w:pStyle w:val="10"/>
            <w:keepNext w:val="0"/>
            <w:keepLines w:val="0"/>
            <w:pageBreakBefore w:val="0"/>
            <w:tabs>
              <w:tab w:val="right" w:leader="dot" w:pos="8306"/>
            </w:tabs>
            <w:kinsoku/>
            <w:wordWrap/>
            <w:overflowPunct/>
            <w:topLinePunct w:val="0"/>
            <w:autoSpaceDE/>
            <w:autoSpaceDN/>
            <w:bidi w:val="0"/>
            <w:adjustRightInd/>
            <w:snapToGrid/>
            <w:spacing w:line="1000" w:lineRule="exact"/>
            <w:ind w:firstLine="640" w:firstLineChars="200"/>
            <w:textAlignment w:val="auto"/>
            <w:rPr>
              <w:rFonts w:hint="eastAsia" w:ascii="黑体" w:hAnsi="黑体" w:eastAsia="黑体" w:cs="黑体"/>
              <w:sz w:val="32"/>
              <w:szCs w:val="32"/>
            </w:rPr>
          </w:pPr>
          <w:r>
            <w:rPr>
              <w:rFonts w:hint="eastAsia" w:ascii="黑体" w:hAnsi="黑体" w:eastAsia="黑体" w:cs="黑体"/>
              <w:bCs/>
              <w:color w:val="auto"/>
              <w:sz w:val="32"/>
              <w:szCs w:val="32"/>
              <w:u w:val="none" w:color="auto"/>
              <w:lang w:val="zh-CN" w:eastAsia="zh-CN"/>
            </w:rPr>
            <w:fldChar w:fldCharType="begin"/>
          </w:r>
          <w:r>
            <w:rPr>
              <w:rFonts w:hint="eastAsia" w:ascii="黑体" w:hAnsi="黑体" w:eastAsia="黑体" w:cs="黑体"/>
              <w:bCs/>
              <w:sz w:val="32"/>
              <w:szCs w:val="32"/>
              <w:lang w:val="zh-CN" w:eastAsia="zh-CN"/>
            </w:rPr>
            <w:instrText xml:space="preserve"> HYPERLINK \l _Toc640 </w:instrText>
          </w:r>
          <w:r>
            <w:rPr>
              <w:rFonts w:hint="eastAsia" w:ascii="黑体" w:hAnsi="黑体" w:eastAsia="黑体" w:cs="黑体"/>
              <w:bCs/>
              <w:sz w:val="32"/>
              <w:szCs w:val="32"/>
              <w:lang w:val="zh-CN" w:eastAsia="zh-CN"/>
            </w:rPr>
            <w:fldChar w:fldCharType="separate"/>
          </w:r>
          <w:r>
            <w:rPr>
              <w:rFonts w:hint="eastAsia" w:ascii="黑体" w:hAnsi="黑体" w:eastAsia="黑体" w:cs="黑体"/>
              <w:sz w:val="32"/>
              <w:szCs w:val="32"/>
              <w:lang w:val="en-US" w:eastAsia="zh-CN"/>
            </w:rPr>
            <w:t>第三章 市场环境</w:t>
          </w:r>
          <w:r>
            <w:rPr>
              <w:rFonts w:hint="eastAsia" w:ascii="黑体" w:hAnsi="黑体" w:eastAsia="黑体" w:cs="黑体"/>
              <w:sz w:val="32"/>
              <w:szCs w:val="32"/>
            </w:rPr>
            <w:tab/>
          </w:r>
          <w:r>
            <w:rPr>
              <w:rFonts w:hint="eastAsia" w:ascii="黑体" w:hAnsi="黑体" w:eastAsia="黑体" w:cs="黑体"/>
              <w:sz w:val="32"/>
              <w:szCs w:val="32"/>
              <w:lang w:val="en-US" w:eastAsia="zh-CN"/>
            </w:rPr>
            <w:t>8</w:t>
          </w:r>
          <w:r>
            <w:rPr>
              <w:rFonts w:hint="eastAsia" w:ascii="黑体" w:hAnsi="黑体" w:eastAsia="黑体" w:cs="黑体"/>
              <w:bCs/>
              <w:color w:val="auto"/>
              <w:sz w:val="32"/>
              <w:szCs w:val="32"/>
              <w:u w:val="none" w:color="auto"/>
              <w:lang w:val="zh-CN" w:eastAsia="zh-CN"/>
            </w:rPr>
            <w:fldChar w:fldCharType="end"/>
          </w:r>
        </w:p>
        <w:p>
          <w:pPr>
            <w:pStyle w:val="10"/>
            <w:keepNext w:val="0"/>
            <w:keepLines w:val="0"/>
            <w:pageBreakBefore w:val="0"/>
            <w:tabs>
              <w:tab w:val="right" w:leader="dot" w:pos="8306"/>
            </w:tabs>
            <w:kinsoku/>
            <w:wordWrap/>
            <w:overflowPunct/>
            <w:topLinePunct w:val="0"/>
            <w:autoSpaceDE/>
            <w:autoSpaceDN/>
            <w:bidi w:val="0"/>
            <w:adjustRightInd/>
            <w:snapToGrid/>
            <w:spacing w:line="1000" w:lineRule="exact"/>
            <w:ind w:firstLine="640" w:firstLineChars="200"/>
            <w:textAlignment w:val="auto"/>
            <w:rPr>
              <w:rFonts w:hint="default" w:ascii="黑体" w:hAnsi="黑体" w:eastAsia="黑体" w:cs="黑体"/>
              <w:sz w:val="32"/>
              <w:szCs w:val="32"/>
              <w:lang w:val="en-US"/>
            </w:rPr>
          </w:pPr>
          <w:r>
            <w:rPr>
              <w:rFonts w:hint="eastAsia" w:ascii="黑体" w:hAnsi="黑体" w:eastAsia="黑体" w:cs="黑体"/>
              <w:bCs/>
              <w:color w:val="auto"/>
              <w:sz w:val="32"/>
              <w:szCs w:val="32"/>
              <w:u w:val="none" w:color="auto"/>
              <w:lang w:val="zh-CN" w:eastAsia="zh-CN"/>
            </w:rPr>
            <w:fldChar w:fldCharType="begin"/>
          </w:r>
          <w:r>
            <w:rPr>
              <w:rFonts w:hint="eastAsia" w:ascii="黑体" w:hAnsi="黑体" w:eastAsia="黑体" w:cs="黑体"/>
              <w:bCs/>
              <w:sz w:val="32"/>
              <w:szCs w:val="32"/>
              <w:lang w:val="zh-CN" w:eastAsia="zh-CN"/>
            </w:rPr>
            <w:instrText xml:space="preserve"> HYPERLINK \l _Toc16388 </w:instrText>
          </w:r>
          <w:r>
            <w:rPr>
              <w:rFonts w:hint="eastAsia" w:ascii="黑体" w:hAnsi="黑体" w:eastAsia="黑体" w:cs="黑体"/>
              <w:bCs/>
              <w:sz w:val="32"/>
              <w:szCs w:val="32"/>
              <w:lang w:val="zh-CN" w:eastAsia="zh-CN"/>
            </w:rPr>
            <w:fldChar w:fldCharType="separate"/>
          </w:r>
          <w:r>
            <w:rPr>
              <w:rFonts w:hint="eastAsia" w:ascii="黑体" w:hAnsi="黑体" w:eastAsia="黑体" w:cs="黑体"/>
              <w:sz w:val="32"/>
              <w:szCs w:val="32"/>
              <w:lang w:val="en-US" w:eastAsia="zh-CN"/>
            </w:rPr>
            <w:t>第四章 政务服务</w:t>
          </w:r>
          <w:r>
            <w:rPr>
              <w:rFonts w:hint="eastAsia" w:ascii="黑体" w:hAnsi="黑体" w:eastAsia="黑体" w:cs="黑体"/>
              <w:sz w:val="32"/>
              <w:szCs w:val="32"/>
            </w:rPr>
            <w:tab/>
          </w:r>
          <w:r>
            <w:rPr>
              <w:rFonts w:hint="eastAsia" w:ascii="黑体" w:hAnsi="黑体" w:eastAsia="黑体" w:cs="黑体"/>
              <w:sz w:val="32"/>
              <w:szCs w:val="32"/>
              <w:lang w:val="en-US" w:eastAsia="zh-CN"/>
            </w:rPr>
            <w:t>1</w:t>
          </w:r>
          <w:r>
            <w:rPr>
              <w:rFonts w:hint="eastAsia" w:ascii="黑体" w:hAnsi="黑体" w:eastAsia="黑体" w:cs="黑体"/>
              <w:bCs/>
              <w:color w:val="auto"/>
              <w:sz w:val="32"/>
              <w:szCs w:val="32"/>
              <w:u w:val="none" w:color="auto"/>
              <w:lang w:val="zh-CN" w:eastAsia="zh-CN"/>
            </w:rPr>
            <w:fldChar w:fldCharType="end"/>
          </w:r>
          <w:r>
            <w:rPr>
              <w:rFonts w:hint="eastAsia" w:ascii="黑体" w:hAnsi="黑体" w:eastAsia="黑体" w:cs="黑体"/>
              <w:bCs/>
              <w:color w:val="auto"/>
              <w:sz w:val="32"/>
              <w:szCs w:val="32"/>
              <w:u w:val="none" w:color="auto"/>
              <w:lang w:val="en-US" w:eastAsia="zh-CN"/>
            </w:rPr>
            <w:t>2</w:t>
          </w:r>
        </w:p>
        <w:p>
          <w:pPr>
            <w:pStyle w:val="10"/>
            <w:keepNext w:val="0"/>
            <w:keepLines w:val="0"/>
            <w:pageBreakBefore w:val="0"/>
            <w:tabs>
              <w:tab w:val="right" w:leader="dot" w:pos="8306"/>
            </w:tabs>
            <w:kinsoku/>
            <w:wordWrap/>
            <w:overflowPunct/>
            <w:topLinePunct w:val="0"/>
            <w:autoSpaceDE/>
            <w:autoSpaceDN/>
            <w:bidi w:val="0"/>
            <w:adjustRightInd/>
            <w:snapToGrid/>
            <w:spacing w:line="1000" w:lineRule="exact"/>
            <w:ind w:firstLine="640" w:firstLineChars="200"/>
            <w:textAlignment w:val="auto"/>
            <w:rPr>
              <w:rFonts w:hint="eastAsia" w:ascii="黑体" w:hAnsi="黑体" w:eastAsia="黑体" w:cs="黑体"/>
              <w:sz w:val="32"/>
              <w:szCs w:val="32"/>
            </w:rPr>
          </w:pPr>
          <w:r>
            <w:rPr>
              <w:rFonts w:hint="eastAsia" w:ascii="黑体" w:hAnsi="黑体" w:eastAsia="黑体" w:cs="黑体"/>
              <w:bCs/>
              <w:color w:val="auto"/>
              <w:sz w:val="32"/>
              <w:szCs w:val="32"/>
              <w:u w:val="none" w:color="auto"/>
              <w:lang w:val="zh-CN" w:eastAsia="zh-CN"/>
            </w:rPr>
            <w:fldChar w:fldCharType="begin"/>
          </w:r>
          <w:r>
            <w:rPr>
              <w:rFonts w:hint="eastAsia" w:ascii="黑体" w:hAnsi="黑体" w:eastAsia="黑体" w:cs="黑体"/>
              <w:bCs/>
              <w:sz w:val="32"/>
              <w:szCs w:val="32"/>
              <w:lang w:val="zh-CN" w:eastAsia="zh-CN"/>
            </w:rPr>
            <w:instrText xml:space="preserve"> HYPERLINK \l _Toc6832 </w:instrText>
          </w:r>
          <w:r>
            <w:rPr>
              <w:rFonts w:hint="eastAsia" w:ascii="黑体" w:hAnsi="黑体" w:eastAsia="黑体" w:cs="黑体"/>
              <w:bCs/>
              <w:sz w:val="32"/>
              <w:szCs w:val="32"/>
              <w:lang w:val="zh-CN" w:eastAsia="zh-CN"/>
            </w:rPr>
            <w:fldChar w:fldCharType="separate"/>
          </w:r>
          <w:r>
            <w:rPr>
              <w:rFonts w:hint="eastAsia" w:ascii="黑体" w:hAnsi="黑体" w:eastAsia="黑体" w:cs="黑体"/>
              <w:sz w:val="32"/>
              <w:szCs w:val="32"/>
              <w:lang w:val="en-US" w:eastAsia="zh-CN"/>
            </w:rPr>
            <w:t>第五章 法治环境</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_Toc6832 \h </w:instrText>
          </w:r>
          <w:r>
            <w:rPr>
              <w:rFonts w:hint="eastAsia" w:ascii="黑体" w:hAnsi="黑体" w:eastAsia="黑体" w:cs="黑体"/>
              <w:sz w:val="32"/>
              <w:szCs w:val="32"/>
            </w:rPr>
            <w:fldChar w:fldCharType="separate"/>
          </w:r>
          <w:r>
            <w:rPr>
              <w:rFonts w:hint="eastAsia" w:ascii="黑体" w:hAnsi="黑体" w:eastAsia="黑体" w:cs="黑体"/>
              <w:sz w:val="32"/>
              <w:szCs w:val="32"/>
            </w:rPr>
            <w:t>15</w:t>
          </w:r>
          <w:r>
            <w:rPr>
              <w:rFonts w:hint="eastAsia" w:ascii="黑体" w:hAnsi="黑体" w:eastAsia="黑体" w:cs="黑体"/>
              <w:sz w:val="32"/>
              <w:szCs w:val="32"/>
            </w:rPr>
            <w:fldChar w:fldCharType="end"/>
          </w:r>
          <w:r>
            <w:rPr>
              <w:rFonts w:hint="eastAsia" w:ascii="黑体" w:hAnsi="黑体" w:eastAsia="黑体" w:cs="黑体"/>
              <w:bCs/>
              <w:color w:val="auto"/>
              <w:sz w:val="32"/>
              <w:szCs w:val="32"/>
              <w:u w:val="none" w:color="auto"/>
              <w:lang w:val="zh-CN" w:eastAsia="zh-CN"/>
            </w:rPr>
            <w:fldChar w:fldCharType="end"/>
          </w:r>
        </w:p>
        <w:p>
          <w:pPr>
            <w:pStyle w:val="10"/>
            <w:keepNext w:val="0"/>
            <w:keepLines w:val="0"/>
            <w:pageBreakBefore w:val="0"/>
            <w:tabs>
              <w:tab w:val="right" w:leader="dot" w:pos="8306"/>
            </w:tabs>
            <w:kinsoku/>
            <w:wordWrap/>
            <w:overflowPunct/>
            <w:topLinePunct w:val="0"/>
            <w:autoSpaceDE/>
            <w:autoSpaceDN/>
            <w:bidi w:val="0"/>
            <w:adjustRightInd/>
            <w:snapToGrid/>
            <w:spacing w:line="1000" w:lineRule="exact"/>
            <w:ind w:firstLine="640" w:firstLineChars="200"/>
            <w:textAlignment w:val="auto"/>
            <w:rPr>
              <w:rFonts w:hint="eastAsia" w:ascii="黑体" w:hAnsi="黑体" w:eastAsia="黑体" w:cs="黑体"/>
              <w:sz w:val="32"/>
              <w:szCs w:val="32"/>
            </w:rPr>
          </w:pPr>
          <w:r>
            <w:rPr>
              <w:rFonts w:hint="eastAsia" w:ascii="黑体" w:hAnsi="黑体" w:eastAsia="黑体" w:cs="黑体"/>
              <w:bCs/>
              <w:color w:val="auto"/>
              <w:sz w:val="32"/>
              <w:szCs w:val="32"/>
              <w:u w:val="none" w:color="auto"/>
              <w:lang w:val="zh-CN" w:eastAsia="zh-CN"/>
            </w:rPr>
            <w:fldChar w:fldCharType="begin"/>
          </w:r>
          <w:r>
            <w:rPr>
              <w:rFonts w:hint="eastAsia" w:ascii="黑体" w:hAnsi="黑体" w:eastAsia="黑体" w:cs="黑体"/>
              <w:bCs/>
              <w:sz w:val="32"/>
              <w:szCs w:val="32"/>
              <w:lang w:val="zh-CN" w:eastAsia="zh-CN"/>
            </w:rPr>
            <w:instrText xml:space="preserve"> HYPERLINK \l _Toc29239 </w:instrText>
          </w:r>
          <w:r>
            <w:rPr>
              <w:rFonts w:hint="eastAsia" w:ascii="黑体" w:hAnsi="黑体" w:eastAsia="黑体" w:cs="黑体"/>
              <w:bCs/>
              <w:sz w:val="32"/>
              <w:szCs w:val="32"/>
              <w:lang w:val="zh-CN" w:eastAsia="zh-CN"/>
            </w:rPr>
            <w:fldChar w:fldCharType="separate"/>
          </w:r>
          <w:r>
            <w:rPr>
              <w:rFonts w:hint="eastAsia" w:ascii="黑体" w:hAnsi="黑体" w:eastAsia="黑体" w:cs="黑体"/>
              <w:sz w:val="32"/>
              <w:szCs w:val="32"/>
              <w:lang w:val="en-US" w:eastAsia="zh-CN"/>
            </w:rPr>
            <w:t>第六章 宜居环境</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_Toc29239 \h </w:instrText>
          </w:r>
          <w:r>
            <w:rPr>
              <w:rFonts w:hint="eastAsia" w:ascii="黑体" w:hAnsi="黑体" w:eastAsia="黑体" w:cs="黑体"/>
              <w:sz w:val="32"/>
              <w:szCs w:val="32"/>
            </w:rPr>
            <w:fldChar w:fldCharType="separate"/>
          </w:r>
          <w:r>
            <w:rPr>
              <w:rFonts w:hint="eastAsia" w:ascii="黑体" w:hAnsi="黑体" w:eastAsia="黑体" w:cs="黑体"/>
              <w:sz w:val="32"/>
              <w:szCs w:val="32"/>
            </w:rPr>
            <w:t>19</w:t>
          </w:r>
          <w:r>
            <w:rPr>
              <w:rFonts w:hint="eastAsia" w:ascii="黑体" w:hAnsi="黑体" w:eastAsia="黑体" w:cs="黑体"/>
              <w:sz w:val="32"/>
              <w:szCs w:val="32"/>
            </w:rPr>
            <w:fldChar w:fldCharType="end"/>
          </w:r>
          <w:r>
            <w:rPr>
              <w:rFonts w:hint="eastAsia" w:ascii="黑体" w:hAnsi="黑体" w:eastAsia="黑体" w:cs="黑体"/>
              <w:bCs/>
              <w:color w:val="auto"/>
              <w:sz w:val="32"/>
              <w:szCs w:val="32"/>
              <w:u w:val="none" w:color="auto"/>
              <w:lang w:val="zh-CN" w:eastAsia="zh-CN"/>
            </w:rPr>
            <w:fldChar w:fldCharType="end"/>
          </w:r>
        </w:p>
        <w:p>
          <w:pPr>
            <w:pStyle w:val="10"/>
            <w:keepNext w:val="0"/>
            <w:keepLines w:val="0"/>
            <w:pageBreakBefore w:val="0"/>
            <w:tabs>
              <w:tab w:val="right" w:leader="dot" w:pos="8306"/>
            </w:tabs>
            <w:kinsoku/>
            <w:wordWrap/>
            <w:overflowPunct/>
            <w:topLinePunct w:val="0"/>
            <w:autoSpaceDE/>
            <w:autoSpaceDN/>
            <w:bidi w:val="0"/>
            <w:adjustRightInd/>
            <w:snapToGrid/>
            <w:spacing w:line="1000" w:lineRule="exact"/>
            <w:ind w:firstLine="640" w:firstLineChars="200"/>
            <w:textAlignment w:val="auto"/>
            <w:rPr>
              <w:rFonts w:hint="default" w:ascii="黑体" w:hAnsi="黑体" w:eastAsia="黑体" w:cs="黑体"/>
              <w:sz w:val="32"/>
              <w:szCs w:val="32"/>
              <w:lang w:val="en-US"/>
            </w:rPr>
          </w:pPr>
          <w:r>
            <w:rPr>
              <w:rFonts w:hint="eastAsia" w:ascii="黑体" w:hAnsi="黑体" w:eastAsia="黑体" w:cs="黑体"/>
              <w:bCs/>
              <w:color w:val="auto"/>
              <w:sz w:val="32"/>
              <w:szCs w:val="32"/>
              <w:u w:val="none" w:color="auto"/>
              <w:lang w:val="zh-CN" w:eastAsia="zh-CN"/>
            </w:rPr>
            <w:fldChar w:fldCharType="begin"/>
          </w:r>
          <w:r>
            <w:rPr>
              <w:rFonts w:hint="eastAsia" w:ascii="黑体" w:hAnsi="黑体" w:eastAsia="黑体" w:cs="黑体"/>
              <w:bCs/>
              <w:sz w:val="32"/>
              <w:szCs w:val="32"/>
              <w:lang w:val="zh-CN" w:eastAsia="zh-CN"/>
            </w:rPr>
            <w:instrText xml:space="preserve"> HYPERLINK \l _Toc4460 </w:instrText>
          </w:r>
          <w:r>
            <w:rPr>
              <w:rFonts w:hint="eastAsia" w:ascii="黑体" w:hAnsi="黑体" w:eastAsia="黑体" w:cs="黑体"/>
              <w:bCs/>
              <w:sz w:val="32"/>
              <w:szCs w:val="32"/>
              <w:lang w:val="zh-CN" w:eastAsia="zh-CN"/>
            </w:rPr>
            <w:fldChar w:fldCharType="separate"/>
          </w:r>
          <w:r>
            <w:rPr>
              <w:rFonts w:hint="eastAsia" w:ascii="黑体" w:hAnsi="黑体" w:eastAsia="黑体" w:cs="黑体"/>
              <w:sz w:val="32"/>
              <w:szCs w:val="32"/>
              <w:lang w:val="en-US" w:eastAsia="zh-CN"/>
            </w:rPr>
            <w:t>第七章 监督保护</w:t>
          </w:r>
          <w:r>
            <w:rPr>
              <w:rFonts w:hint="eastAsia" w:ascii="黑体" w:hAnsi="黑体" w:eastAsia="黑体" w:cs="黑体"/>
              <w:sz w:val="32"/>
              <w:szCs w:val="32"/>
            </w:rPr>
            <w:tab/>
          </w:r>
          <w:r>
            <w:rPr>
              <w:rFonts w:hint="eastAsia" w:ascii="黑体" w:hAnsi="黑体" w:eastAsia="黑体" w:cs="黑体"/>
              <w:sz w:val="32"/>
              <w:szCs w:val="32"/>
              <w:lang w:val="en-US" w:eastAsia="zh-CN"/>
            </w:rPr>
            <w:t>21</w:t>
          </w:r>
          <w:r>
            <w:rPr>
              <w:rFonts w:hint="eastAsia" w:ascii="黑体" w:hAnsi="黑体" w:eastAsia="黑体" w:cs="黑体"/>
              <w:bCs/>
              <w:color w:val="auto"/>
              <w:sz w:val="32"/>
              <w:szCs w:val="32"/>
              <w:u w:val="none" w:color="auto"/>
              <w:lang w:val="zh-CN" w:eastAsia="zh-CN"/>
            </w:rPr>
            <w:fldChar w:fldCharType="end"/>
          </w:r>
        </w:p>
        <w:p>
          <w:pPr>
            <w:pStyle w:val="10"/>
            <w:keepNext w:val="0"/>
            <w:keepLines w:val="0"/>
            <w:pageBreakBefore w:val="0"/>
            <w:tabs>
              <w:tab w:val="right" w:leader="dot" w:pos="8306"/>
            </w:tabs>
            <w:kinsoku/>
            <w:wordWrap/>
            <w:overflowPunct/>
            <w:topLinePunct w:val="0"/>
            <w:autoSpaceDE/>
            <w:autoSpaceDN/>
            <w:bidi w:val="0"/>
            <w:adjustRightInd/>
            <w:snapToGrid/>
            <w:spacing w:line="1000" w:lineRule="exact"/>
            <w:ind w:firstLine="640" w:firstLineChars="200"/>
            <w:textAlignment w:val="auto"/>
            <w:rPr>
              <w:rFonts w:hint="default" w:ascii="黑体" w:hAnsi="黑体" w:eastAsia="黑体" w:cs="黑体"/>
              <w:sz w:val="32"/>
              <w:szCs w:val="32"/>
              <w:lang w:val="en-US"/>
            </w:rPr>
          </w:pPr>
          <w:r>
            <w:rPr>
              <w:rFonts w:hint="eastAsia" w:ascii="黑体" w:hAnsi="黑体" w:eastAsia="黑体" w:cs="黑体"/>
              <w:bCs/>
              <w:color w:val="auto"/>
              <w:sz w:val="32"/>
              <w:szCs w:val="32"/>
              <w:u w:val="none" w:color="auto"/>
              <w:lang w:val="zh-CN" w:eastAsia="zh-CN"/>
            </w:rPr>
            <w:fldChar w:fldCharType="begin"/>
          </w:r>
          <w:r>
            <w:rPr>
              <w:rFonts w:hint="eastAsia" w:ascii="黑体" w:hAnsi="黑体" w:eastAsia="黑体" w:cs="黑体"/>
              <w:bCs/>
              <w:sz w:val="32"/>
              <w:szCs w:val="32"/>
              <w:lang w:val="zh-CN" w:eastAsia="zh-CN"/>
            </w:rPr>
            <w:instrText xml:space="preserve"> HYPERLINK \l _Toc27932 </w:instrText>
          </w:r>
          <w:r>
            <w:rPr>
              <w:rFonts w:hint="eastAsia" w:ascii="黑体" w:hAnsi="黑体" w:eastAsia="黑体" w:cs="黑体"/>
              <w:bCs/>
              <w:sz w:val="32"/>
              <w:szCs w:val="32"/>
              <w:lang w:val="zh-CN" w:eastAsia="zh-CN"/>
            </w:rPr>
            <w:fldChar w:fldCharType="separate"/>
          </w:r>
          <w:r>
            <w:rPr>
              <w:rFonts w:hint="eastAsia" w:ascii="黑体" w:hAnsi="黑体" w:eastAsia="黑体" w:cs="黑体"/>
              <w:sz w:val="32"/>
              <w:szCs w:val="32"/>
              <w:lang w:val="en-US" w:eastAsia="zh-CN"/>
            </w:rPr>
            <w:t>第八章 法律责任</w:t>
          </w:r>
          <w:r>
            <w:rPr>
              <w:rFonts w:hint="eastAsia" w:ascii="黑体" w:hAnsi="黑体" w:eastAsia="黑体" w:cs="黑体"/>
              <w:sz w:val="32"/>
              <w:szCs w:val="32"/>
            </w:rPr>
            <w:tab/>
          </w:r>
          <w:r>
            <w:rPr>
              <w:rFonts w:hint="eastAsia" w:ascii="黑体" w:hAnsi="黑体" w:eastAsia="黑体" w:cs="黑体"/>
              <w:sz w:val="32"/>
              <w:szCs w:val="32"/>
              <w:lang w:val="en-US" w:eastAsia="zh-CN"/>
            </w:rPr>
            <w:t>2</w:t>
          </w:r>
          <w:r>
            <w:rPr>
              <w:rFonts w:hint="eastAsia" w:ascii="黑体" w:hAnsi="黑体" w:eastAsia="黑体" w:cs="黑体"/>
              <w:bCs/>
              <w:color w:val="auto"/>
              <w:sz w:val="32"/>
              <w:szCs w:val="32"/>
              <w:u w:val="none" w:color="auto"/>
              <w:lang w:val="zh-CN" w:eastAsia="zh-CN"/>
            </w:rPr>
            <w:fldChar w:fldCharType="end"/>
          </w:r>
          <w:r>
            <w:rPr>
              <w:rFonts w:hint="eastAsia" w:ascii="黑体" w:hAnsi="黑体" w:eastAsia="黑体" w:cs="黑体"/>
              <w:bCs/>
              <w:color w:val="auto"/>
              <w:sz w:val="32"/>
              <w:szCs w:val="32"/>
              <w:u w:val="none" w:color="auto"/>
              <w:lang w:val="en-US" w:eastAsia="zh-CN"/>
            </w:rPr>
            <w:t>3</w:t>
          </w:r>
        </w:p>
        <w:p>
          <w:pPr>
            <w:pStyle w:val="10"/>
            <w:keepNext w:val="0"/>
            <w:keepLines w:val="0"/>
            <w:pageBreakBefore w:val="0"/>
            <w:tabs>
              <w:tab w:val="right" w:leader="dot" w:pos="8306"/>
            </w:tabs>
            <w:kinsoku/>
            <w:wordWrap/>
            <w:overflowPunct/>
            <w:topLinePunct w:val="0"/>
            <w:autoSpaceDE/>
            <w:autoSpaceDN/>
            <w:bidi w:val="0"/>
            <w:adjustRightInd/>
            <w:snapToGrid/>
            <w:spacing w:line="1000" w:lineRule="exact"/>
            <w:ind w:firstLine="640" w:firstLineChars="200"/>
            <w:textAlignment w:val="auto"/>
            <w:rPr>
              <w:rFonts w:hint="default" w:ascii="黑体" w:hAnsi="黑体" w:eastAsia="黑体" w:cs="黑体"/>
              <w:bCs/>
              <w:color w:val="auto"/>
              <w:sz w:val="32"/>
              <w:szCs w:val="32"/>
              <w:u w:val="none" w:color="auto"/>
              <w:lang w:val="en-US" w:eastAsia="zh-CN"/>
            </w:rPr>
          </w:pPr>
          <w:r>
            <w:rPr>
              <w:rFonts w:hint="eastAsia" w:ascii="黑体" w:hAnsi="黑体" w:eastAsia="黑体" w:cs="黑体"/>
              <w:bCs/>
              <w:color w:val="auto"/>
              <w:sz w:val="32"/>
              <w:szCs w:val="32"/>
              <w:u w:val="none" w:color="auto"/>
              <w:lang w:val="zh-CN" w:eastAsia="zh-CN"/>
            </w:rPr>
            <w:fldChar w:fldCharType="begin"/>
          </w:r>
          <w:r>
            <w:rPr>
              <w:rFonts w:hint="eastAsia" w:ascii="黑体" w:hAnsi="黑体" w:eastAsia="黑体" w:cs="黑体"/>
              <w:bCs/>
              <w:sz w:val="32"/>
              <w:szCs w:val="32"/>
              <w:lang w:val="zh-CN" w:eastAsia="zh-CN"/>
            </w:rPr>
            <w:instrText xml:space="preserve"> HYPERLINK \l _Toc28175 </w:instrText>
          </w:r>
          <w:r>
            <w:rPr>
              <w:rFonts w:hint="eastAsia" w:ascii="黑体" w:hAnsi="黑体" w:eastAsia="黑体" w:cs="黑体"/>
              <w:bCs/>
              <w:sz w:val="32"/>
              <w:szCs w:val="32"/>
              <w:lang w:val="zh-CN" w:eastAsia="zh-CN"/>
            </w:rPr>
            <w:fldChar w:fldCharType="separate"/>
          </w:r>
          <w:r>
            <w:rPr>
              <w:rFonts w:hint="eastAsia" w:ascii="黑体" w:hAnsi="黑体" w:eastAsia="黑体" w:cs="黑体"/>
              <w:sz w:val="32"/>
              <w:szCs w:val="32"/>
              <w:lang w:val="en-US" w:eastAsia="zh-CN"/>
            </w:rPr>
            <w:t>第九章 附则</w:t>
          </w:r>
          <w:r>
            <w:rPr>
              <w:rFonts w:hint="eastAsia" w:ascii="黑体" w:hAnsi="黑体" w:eastAsia="黑体" w:cs="黑体"/>
              <w:sz w:val="32"/>
              <w:szCs w:val="32"/>
            </w:rPr>
            <w:tab/>
          </w:r>
          <w:r>
            <w:rPr>
              <w:rFonts w:hint="eastAsia" w:ascii="黑体" w:hAnsi="黑体" w:eastAsia="黑体" w:cs="黑体"/>
              <w:sz w:val="32"/>
              <w:szCs w:val="32"/>
              <w:lang w:val="en-US" w:eastAsia="zh-CN"/>
            </w:rPr>
            <w:t>2</w:t>
          </w:r>
          <w:r>
            <w:rPr>
              <w:rFonts w:hint="eastAsia" w:ascii="黑体" w:hAnsi="黑体" w:eastAsia="黑体" w:cs="黑体"/>
              <w:bCs/>
              <w:color w:val="auto"/>
              <w:sz w:val="32"/>
              <w:szCs w:val="32"/>
              <w:u w:val="none" w:color="auto"/>
              <w:lang w:val="zh-CN" w:eastAsia="zh-CN"/>
            </w:rPr>
            <w:fldChar w:fldCharType="end"/>
          </w:r>
          <w:r>
            <w:rPr>
              <w:rFonts w:hint="eastAsia" w:ascii="黑体" w:hAnsi="黑体" w:eastAsia="黑体" w:cs="黑体"/>
              <w:bCs/>
              <w:color w:val="auto"/>
              <w:sz w:val="32"/>
              <w:szCs w:val="32"/>
              <w:u w:val="none" w:color="auto"/>
              <w:lang w:val="en-US" w:eastAsia="zh-CN"/>
            </w:rPr>
            <w:t>6</w:t>
          </w:r>
          <w:bookmarkStart w:id="9" w:name="_GoBack"/>
          <w:bookmarkEnd w:id="9"/>
        </w:p>
        <w:p>
          <w:pPr>
            <w:pStyle w:val="10"/>
            <w:keepNext w:val="0"/>
            <w:keepLines w:val="0"/>
            <w:pageBreakBefore w:val="0"/>
            <w:tabs>
              <w:tab w:val="right" w:leader="dot" w:pos="8306"/>
            </w:tabs>
            <w:kinsoku/>
            <w:wordWrap/>
            <w:overflowPunct/>
            <w:topLinePunct w:val="0"/>
            <w:autoSpaceDE/>
            <w:autoSpaceDN/>
            <w:bidi w:val="0"/>
            <w:adjustRightInd/>
            <w:snapToGrid/>
            <w:spacing w:line="1000" w:lineRule="exact"/>
            <w:ind w:firstLine="640" w:firstLineChars="200"/>
            <w:textAlignment w:val="auto"/>
            <w:rPr>
              <w:rFonts w:hint="default" w:ascii="黑体" w:hAnsi="黑体" w:eastAsia="黑体" w:cs="黑体"/>
              <w:bCs/>
              <w:color w:val="auto"/>
              <w:sz w:val="32"/>
              <w:szCs w:val="32"/>
              <w:u w:val="none" w:color="auto"/>
              <w:lang w:val="en-US" w:eastAsia="zh-CN"/>
            </w:rPr>
          </w:pPr>
        </w:p>
        <w:p>
          <w:pPr>
            <w:pStyle w:val="2"/>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13" w:beforeLines="100" w:beforeAutospacing="0" w:after="313" w:afterLines="100" w:afterAutospacing="0" w:line="1000" w:lineRule="exact"/>
            <w:ind w:left="0" w:right="0" w:firstLine="643" w:firstLineChars="200"/>
            <w:jc w:val="center"/>
            <w:textAlignment w:val="auto"/>
            <w:outlineLvl w:val="9"/>
            <w:rPr>
              <w:rFonts w:hint="eastAsia" w:ascii="黑体" w:hAnsi="黑体" w:eastAsia="黑体" w:cs="黑体"/>
              <w:b/>
              <w:bCs/>
              <w:color w:val="auto"/>
              <w:sz w:val="44"/>
              <w:szCs w:val="44"/>
              <w:u w:val="none" w:color="auto"/>
              <w:lang w:val="zh-CN" w:eastAsia="zh-CN"/>
            </w:rPr>
          </w:pPr>
          <w:r>
            <w:rPr>
              <w:rFonts w:hint="eastAsia" w:ascii="黑体" w:hAnsi="黑体" w:eastAsia="黑体" w:cs="黑体"/>
              <w:bCs/>
              <w:color w:val="auto"/>
              <w:sz w:val="32"/>
              <w:szCs w:val="32"/>
              <w:u w:val="none" w:color="auto"/>
              <w:lang w:val="zh-CN" w:eastAsia="zh-CN"/>
            </w:rPr>
            <w:fldChar w:fldCharType="end"/>
          </w:r>
        </w:p>
      </w:sdtContent>
    </w:sdt>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0"/>
        <w:rPr>
          <w:rFonts w:hint="eastAsia" w:ascii="黑体" w:hAnsi="黑体" w:eastAsia="黑体" w:cs="黑体"/>
          <w:sz w:val="36"/>
          <w:szCs w:val="36"/>
          <w:lang w:val="en-US" w:eastAsia="zh-CN"/>
        </w:rPr>
      </w:pPr>
      <w:bookmarkStart w:id="0" w:name="_Toc20706"/>
      <w:r>
        <w:rPr>
          <w:rFonts w:hint="eastAsia" w:ascii="黑体" w:hAnsi="黑体" w:eastAsia="黑体" w:cs="黑体"/>
          <w:sz w:val="36"/>
          <w:szCs w:val="36"/>
          <w:lang w:val="en-US" w:eastAsia="zh-CN"/>
        </w:rPr>
        <w:t>第一章 总则</w:t>
      </w:r>
      <w:bookmarkEnd w:id="0"/>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640" w:firstLineChars="200"/>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第一条 为了持续优化营商环境，激发市场主体活力和社会创造力，维护市场主体合法权益，推进治理体系和治理能力现代化，推动高质量发展，根据国务院《优化营商环境条例》《山东省优化营商环境条例》等法律、法规，结合本市实际，制定本条例。</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640" w:firstLineChars="200"/>
        <w:textAlignment w:val="auto"/>
        <w:outlineLvl w:val="9"/>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第二条 </w:t>
      </w:r>
      <w:r>
        <w:rPr>
          <w:rFonts w:hint="default" w:ascii="仿宋_GB2312" w:hAnsi="仿宋_GB2312" w:eastAsia="仿宋_GB2312" w:cs="仿宋_GB2312"/>
          <w:sz w:val="32"/>
          <w:szCs w:val="32"/>
          <w:u w:val="none"/>
          <w:lang w:val="en-US" w:eastAsia="zh-CN"/>
        </w:rPr>
        <w:t>本市行政区域内的优化营商环境工作，适用本条例。</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640" w:firstLineChars="200"/>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第三条 优化营商环境应当遵循市场化、法治化、国际化原则，以市场主体需求为导向，持续深化简政放权、放管结合、优化服务改革，切实降低制度性交易成本，激发市场主体活力，充分发挥市场在资源配置中的决定性作用，维护市场主体的合法权益，营造稳定、公平、透明和可预期的营商环境。</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640" w:firstLineChars="200"/>
        <w:textAlignment w:val="auto"/>
        <w:outlineLvl w:val="9"/>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第四条 市、县（市、区）人民政府</w:t>
      </w:r>
      <w:r>
        <w:rPr>
          <w:rFonts w:hint="default" w:ascii="仿宋_GB2312" w:hAnsi="仿宋_GB2312" w:eastAsia="仿宋_GB2312" w:cs="仿宋_GB2312"/>
          <w:sz w:val="32"/>
          <w:szCs w:val="32"/>
          <w:u w:val="none"/>
          <w:lang w:val="en-US" w:eastAsia="zh-CN"/>
        </w:rPr>
        <w:t>应当加强本行政区域优化营商环境工作的组织领导，根据工作需要制定实施并持续优化营商环境政策措施，建立健全优化营商环境工作协调机制和政企互动沟通机制，及时协调、解决优化营商环境中存在的重大问题。</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640" w:firstLineChars="200"/>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市、县（市、区）人民政府</w:t>
      </w:r>
      <w:r>
        <w:rPr>
          <w:rFonts w:hint="default" w:ascii="仿宋_GB2312" w:hAnsi="仿宋_GB2312" w:eastAsia="仿宋_GB2312" w:cs="仿宋_GB2312"/>
          <w:sz w:val="32"/>
          <w:szCs w:val="32"/>
          <w:u w:val="none"/>
          <w:lang w:val="en-US" w:eastAsia="zh-CN"/>
        </w:rPr>
        <w:t>应当加强对优化营商环境工作的领导，政府主要负责人是优化营商环境第一责任人。</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640" w:firstLineChars="200"/>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市、县（市、区）行政审批服务局</w:t>
      </w:r>
      <w:r>
        <w:rPr>
          <w:rFonts w:hint="default" w:ascii="仿宋_GB2312" w:hAnsi="仿宋_GB2312" w:eastAsia="仿宋_GB2312" w:cs="仿宋_GB2312"/>
          <w:sz w:val="32"/>
          <w:szCs w:val="32"/>
          <w:u w:val="none"/>
          <w:lang w:val="en-US" w:eastAsia="zh-CN"/>
        </w:rPr>
        <w:t>主管本行政区域内优化营商环境工作，组织、指导、协调优化营商环境日常事务，其他有关政府部门应当按照各自职责，共同做好优化营商环境工作。</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第五条 各类市场主体在市场经济活动中权利平等、机会平等、规则平等，依法享有自主决定经营业态、模式的权利，人身和财产权益受到保护的权利，知悉法律、政策和监管、服务等情况的权利，自主加入或者退出社会组织的权利，对营商环境工作进行监督和评价的权利。</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市场主体应当遵守法律法规，恪守社会公德和商业道德，诚实守信、公平竞争，维护市场秩序，履行法定义务，共同营造更加健康有序的营商环境。</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第六条 市、县（市、区）人民政府及有关部门应当结合实际，充分运用现行法律制度、政策资源，探索具体可行的优化营商环境创新措施并持续调整完善，对行之有效的新措施形成具有本地特色的改革经验，在全市复制推广。</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市人民政府应当主动对接国家发展战略，争取国家、省综合授权和改革试点，支持高新技术产业开发区、经济技术开发区等区域在优化营商环境方面先行先试，鼓励创新体制机制，发挥引领示范作用。</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第七条 全面对接鲁南经济圈一体化发展，与相关市协同推进优化营商环境工作，推动建立统一的市场准入和监管规则，构建要素自由流动的统一开放市场。</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拓展与运河流域城市产业、交通物流、商旅文化、生态保护等领域合作，深度融入淮海经济区协同发展战略，推动全方位开放发展。</w:t>
      </w:r>
    </w:p>
    <w:p>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line="360" w:lineRule="auto"/>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本市建立鼓励改革创新、宽容失败的激励机制和容错免责机制，有关单位和个人在营商环境改革创新、先行先试工作中出现失误或者偏差，未达到预期效果，符合规定条件的，可以从轻、减轻或者免予追责。</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第九条 市、县（市、区）人民政府及有关部门应当对照国家和省营商环境评价体系，以市场主体满意度和社会公众满意度为导向，推进优化营商环境改革，及时调整完善优化营商环境的政策措施，发挥营商环境评价体系的引领和督促作用。</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鼓励建立优化营商环境第三方评价机制，由独立第三方社会机构对市、县（市、区）人民政府及</w:t>
      </w:r>
      <w:r>
        <w:rPr>
          <w:rFonts w:hint="default" w:ascii="仿宋_GB2312" w:hAnsi="仿宋_GB2312" w:eastAsia="仿宋_GB2312" w:cs="仿宋_GB2312"/>
          <w:sz w:val="32"/>
          <w:szCs w:val="32"/>
          <w:u w:val="none"/>
          <w:lang w:eastAsia="zh-CN"/>
        </w:rPr>
        <w:t>有关部门</w:t>
      </w:r>
      <w:r>
        <w:rPr>
          <w:rFonts w:hint="eastAsia" w:ascii="仿宋_GB2312" w:hAnsi="仿宋_GB2312" w:eastAsia="仿宋_GB2312" w:cs="仿宋_GB2312"/>
          <w:sz w:val="32"/>
          <w:szCs w:val="32"/>
          <w:u w:val="none"/>
          <w:lang w:val="en-US" w:eastAsia="zh-CN"/>
        </w:rPr>
        <w:t>的优化营商环境工作进行评价，并将结果向社会公开。</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第十条 </w:t>
      </w:r>
      <w:r>
        <w:rPr>
          <w:rFonts w:hint="eastAsia" w:ascii="仿宋_GB2312" w:hAnsi="仿宋_GB2312" w:eastAsia="仿宋_GB2312" w:cs="仿宋_GB2312"/>
          <w:b w:val="0"/>
          <w:bCs w:val="0"/>
          <w:sz w:val="32"/>
          <w:szCs w:val="32"/>
          <w:u w:val="none"/>
          <w:lang w:val="en-US" w:eastAsia="zh-CN"/>
        </w:rPr>
        <w:t>每年</w:t>
      </w:r>
      <w:r>
        <w:rPr>
          <w:rFonts w:hint="default" w:ascii="仿宋_GB2312" w:hAnsi="仿宋_GB2312" w:eastAsia="仿宋_GB2312" w:cs="仿宋_GB2312"/>
          <w:b w:val="0"/>
          <w:bCs w:val="0"/>
          <w:sz w:val="32"/>
          <w:szCs w:val="32"/>
          <w:u w:val="none"/>
          <w:lang w:eastAsia="zh-CN"/>
        </w:rPr>
        <w:t>X</w:t>
      </w:r>
      <w:r>
        <w:rPr>
          <w:rFonts w:hint="eastAsia" w:ascii="仿宋_GB2312" w:hAnsi="仿宋_GB2312" w:eastAsia="仿宋_GB2312" w:cs="仿宋_GB2312"/>
          <w:b w:val="0"/>
          <w:bCs w:val="0"/>
          <w:sz w:val="32"/>
          <w:szCs w:val="32"/>
          <w:u w:val="none"/>
          <w:lang w:val="en-US" w:eastAsia="zh-CN"/>
        </w:rPr>
        <w:t>月</w:t>
      </w:r>
      <w:r>
        <w:rPr>
          <w:rFonts w:hint="default" w:ascii="仿宋_GB2312" w:hAnsi="仿宋_GB2312" w:eastAsia="仿宋_GB2312" w:cs="仿宋_GB2312"/>
          <w:b w:val="0"/>
          <w:bCs w:val="0"/>
          <w:sz w:val="32"/>
          <w:szCs w:val="32"/>
          <w:u w:val="none"/>
          <w:lang w:eastAsia="zh-CN"/>
        </w:rPr>
        <w:t>X</w:t>
      </w:r>
      <w:r>
        <w:rPr>
          <w:rFonts w:hint="eastAsia" w:ascii="仿宋_GB2312" w:hAnsi="仿宋_GB2312" w:eastAsia="仿宋_GB2312" w:cs="仿宋_GB2312"/>
          <w:b w:val="0"/>
          <w:bCs w:val="0"/>
          <w:sz w:val="32"/>
          <w:szCs w:val="32"/>
          <w:u w:val="none"/>
          <w:lang w:val="en-US" w:eastAsia="zh-CN"/>
        </w:rPr>
        <w:t>日为济宁企业家日</w:t>
      </w:r>
      <w:r>
        <w:rPr>
          <w:rFonts w:hint="eastAsia" w:ascii="仿宋_GB2312" w:hAnsi="仿宋_GB2312" w:eastAsia="仿宋_GB2312" w:cs="仿宋_GB2312"/>
          <w:sz w:val="32"/>
          <w:szCs w:val="32"/>
          <w:u w:val="none"/>
          <w:lang w:val="en-US" w:eastAsia="zh-CN"/>
        </w:rPr>
        <w:t>，共同营造企业家健康成长环境，激发和弘扬优秀企业家精神，尊重企业家价值，更好地彰显和发挥企业家作用。</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第十一条 市、县（市、区）人民政府及有关部门、新闻媒体应当及时、准确宣传优化营商环境的法律、法规、政策措施、先进典型及经验成果的宣传，依法曝光营商环境反面典型案例，营造良好的优化营商环境社会氛围。</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0"/>
        <w:rPr>
          <w:rFonts w:hint="eastAsia" w:ascii="黑体" w:hAnsi="黑体" w:eastAsia="黑体" w:cs="黑体"/>
          <w:sz w:val="36"/>
          <w:szCs w:val="36"/>
          <w:u w:val="none"/>
          <w:lang w:val="en-US" w:eastAsia="zh-CN"/>
        </w:rPr>
      </w:pPr>
      <w:bookmarkStart w:id="1" w:name="_Toc1289"/>
      <w:r>
        <w:rPr>
          <w:rFonts w:hint="eastAsia" w:ascii="黑体" w:hAnsi="黑体" w:eastAsia="黑体" w:cs="黑体"/>
          <w:sz w:val="36"/>
          <w:szCs w:val="36"/>
          <w:u w:val="none"/>
          <w:lang w:val="en-US" w:eastAsia="zh-CN"/>
        </w:rPr>
        <w:t>第二章 市场主体保护与培育</w:t>
      </w:r>
      <w:bookmarkEnd w:id="1"/>
    </w:p>
    <w:p>
      <w:pPr>
        <w:keepNext w:val="0"/>
        <w:keepLines w:val="0"/>
        <w:pageBreakBefore w:val="0"/>
        <w:widowControl w:val="0"/>
        <w:suppressLineNumbers w:val="0"/>
        <w:kinsoku/>
        <w:wordWrap/>
        <w:overflowPunct/>
        <w:topLinePunct w:val="0"/>
        <w:autoSpaceDE w:val="0"/>
        <w:autoSpaceDN/>
        <w:bidi w:val="0"/>
        <w:spacing w:before="157" w:beforeLines="50" w:beforeAutospacing="0" w:after="157" w:afterLines="50" w:afterAutospacing="0" w:line="360" w:lineRule="auto"/>
        <w:ind w:left="0" w:right="0" w:firstLine="640" w:firstLineChars="200"/>
        <w:jc w:val="both"/>
        <w:textAlignment w:val="auto"/>
        <w:rPr>
          <w:rFonts w:hint="default" w:ascii="仿宋_GB2312" w:eastAsia="仿宋_GB2312" w:cs="仿宋_GB2312"/>
          <w:color w:val="auto"/>
          <w:kern w:val="2"/>
          <w:sz w:val="32"/>
          <w:szCs w:val="32"/>
        </w:rPr>
      </w:pPr>
      <w:bookmarkStart w:id="2" w:name="_Toc640"/>
      <w:r>
        <w:rPr>
          <w:rFonts w:hint="default" w:ascii="仿宋_GB2312" w:hAnsi="Calibri" w:eastAsia="仿宋_GB2312" w:cs="仿宋_GB2312"/>
          <w:kern w:val="2"/>
          <w:sz w:val="32"/>
          <w:szCs w:val="32"/>
          <w:lang w:val="en-US" w:eastAsia="zh-CN" w:bidi="ar"/>
        </w:rPr>
        <w:t>第</w:t>
      </w:r>
      <w:r>
        <w:rPr>
          <w:rFonts w:hint="default" w:ascii="仿宋_GB2312" w:hAnsi="Calibri" w:eastAsia="仿宋_GB2312" w:cs="仿宋_GB2312"/>
          <w:kern w:val="2"/>
          <w:sz w:val="32"/>
          <w:szCs w:val="32"/>
          <w:lang w:eastAsia="zh-CN" w:bidi="ar"/>
        </w:rPr>
        <w:t>十二</w:t>
      </w:r>
      <w:r>
        <w:rPr>
          <w:rFonts w:hint="default" w:ascii="仿宋_GB2312" w:hAnsi="Calibri" w:eastAsia="仿宋_GB2312" w:cs="仿宋_GB2312"/>
          <w:kern w:val="2"/>
          <w:sz w:val="32"/>
          <w:szCs w:val="32"/>
          <w:lang w:val="en-US" w:eastAsia="zh-CN" w:bidi="ar"/>
        </w:rPr>
        <w:t>条 因自然灾害、事故灾难或者公共卫生事件等突发事件造成各类市场主体普遍性生产经营困难的，</w:t>
      </w:r>
      <w:r>
        <w:rPr>
          <w:rFonts w:hint="eastAsia" w:ascii="仿宋_GB2312" w:hAnsi="仿宋_GB2312" w:eastAsia="仿宋_GB2312" w:cs="仿宋_GB2312"/>
          <w:sz w:val="32"/>
          <w:szCs w:val="32"/>
          <w:u w:val="none"/>
          <w:lang w:val="en-US" w:eastAsia="zh-CN"/>
        </w:rPr>
        <w:t>市、县（市、区）人民政府</w:t>
      </w:r>
      <w:r>
        <w:rPr>
          <w:rFonts w:hint="default" w:ascii="仿宋_GB2312" w:hAnsi="Calibri" w:eastAsia="仿宋_GB2312" w:cs="仿宋_GB2312"/>
          <w:kern w:val="2"/>
          <w:sz w:val="32"/>
          <w:szCs w:val="32"/>
          <w:lang w:val="en-US" w:eastAsia="zh-CN" w:bidi="ar"/>
        </w:rPr>
        <w:t>应当及时制定推动经济稳定循环和持续发展的</w:t>
      </w:r>
      <w:r>
        <w:rPr>
          <w:rFonts w:hint="default" w:ascii="仿宋_GB2312" w:hAnsi="Calibri" w:eastAsia="仿宋_GB2312" w:cs="仿宋_GB2312"/>
          <w:color w:val="auto"/>
          <w:kern w:val="2"/>
          <w:sz w:val="32"/>
          <w:szCs w:val="32"/>
          <w:lang w:val="en-US" w:eastAsia="zh-CN" w:bidi="ar"/>
        </w:rPr>
        <w:t xml:space="preserve">扶持政策，依法采取救助、补偿、减免等帮扶措施。 </w:t>
      </w:r>
    </w:p>
    <w:p>
      <w:pPr>
        <w:keepNext w:val="0"/>
        <w:keepLines w:val="0"/>
        <w:pageBreakBefore w:val="0"/>
        <w:widowControl w:val="0"/>
        <w:suppressLineNumbers w:val="0"/>
        <w:kinsoku/>
        <w:wordWrap/>
        <w:overflowPunct/>
        <w:topLinePunct w:val="0"/>
        <w:autoSpaceDE w:val="0"/>
        <w:autoSpaceDN/>
        <w:bidi w:val="0"/>
        <w:spacing w:before="157" w:beforeLines="50" w:beforeAutospacing="0" w:after="157" w:afterLines="50" w:afterAutospacing="0" w:line="360" w:lineRule="auto"/>
        <w:ind w:left="0" w:right="0" w:firstLine="640" w:firstLineChars="200"/>
        <w:jc w:val="both"/>
        <w:textAlignment w:val="auto"/>
        <w:rPr>
          <w:rFonts w:hint="default" w:ascii="仿宋_GB2312" w:eastAsia="仿宋_GB2312" w:cs="仿宋_GB2312"/>
          <w:color w:val="auto"/>
          <w:kern w:val="2"/>
          <w:sz w:val="32"/>
          <w:szCs w:val="32"/>
        </w:rPr>
      </w:pPr>
      <w:r>
        <w:rPr>
          <w:rFonts w:hint="default" w:ascii="仿宋_GB2312" w:hAnsi="Calibri" w:eastAsia="仿宋_GB2312" w:cs="仿宋_GB2312"/>
          <w:color w:val="auto"/>
          <w:kern w:val="2"/>
          <w:sz w:val="32"/>
          <w:szCs w:val="32"/>
          <w:lang w:val="en-US" w:eastAsia="zh-CN" w:bidi="ar"/>
        </w:rPr>
        <w:t>第</w:t>
      </w:r>
      <w:r>
        <w:rPr>
          <w:rFonts w:hint="default" w:ascii="仿宋_GB2312" w:hAnsi="Calibri" w:eastAsia="仿宋_GB2312" w:cs="仿宋_GB2312"/>
          <w:color w:val="auto"/>
          <w:kern w:val="2"/>
          <w:sz w:val="32"/>
          <w:szCs w:val="32"/>
          <w:lang w:eastAsia="zh-CN" w:bidi="ar"/>
        </w:rPr>
        <w:t>十三</w:t>
      </w:r>
      <w:r>
        <w:rPr>
          <w:rFonts w:hint="default" w:ascii="仿宋_GB2312" w:hAnsi="Calibri" w:eastAsia="仿宋_GB2312" w:cs="仿宋_GB2312"/>
          <w:color w:val="auto"/>
          <w:kern w:val="2"/>
          <w:sz w:val="32"/>
          <w:szCs w:val="32"/>
          <w:lang w:val="en-US" w:eastAsia="zh-CN" w:bidi="ar"/>
        </w:rPr>
        <w:t xml:space="preserve">条 </w:t>
      </w:r>
      <w:r>
        <w:rPr>
          <w:rFonts w:hint="eastAsia" w:ascii="仿宋_GB2312" w:hAnsi="仿宋_GB2312" w:eastAsia="仿宋_GB2312" w:cs="仿宋_GB2312"/>
          <w:sz w:val="32"/>
          <w:szCs w:val="32"/>
          <w:u w:val="none"/>
          <w:lang w:val="en-US" w:eastAsia="zh-CN"/>
        </w:rPr>
        <w:t>市、县（市、区）人民政府</w:t>
      </w:r>
      <w:r>
        <w:rPr>
          <w:rFonts w:hint="default" w:ascii="仿宋_GB2312" w:hAnsi="Calibri" w:eastAsia="仿宋_GB2312" w:cs="仿宋_GB2312"/>
          <w:color w:val="auto"/>
          <w:kern w:val="2"/>
          <w:sz w:val="32"/>
          <w:szCs w:val="32"/>
          <w:lang w:val="en-US" w:eastAsia="zh-CN" w:bidi="ar"/>
        </w:rPr>
        <w:t>应当健全要素市场监管制度，完善政府调节与监管，提升监管和服务能力，提高要素的应急管理和配置能力，引导各类要素协同向先进生产力集聚。</w:t>
      </w:r>
    </w:p>
    <w:p>
      <w:pPr>
        <w:keepNext w:val="0"/>
        <w:keepLines w:val="0"/>
        <w:pageBreakBefore w:val="0"/>
        <w:widowControl w:val="0"/>
        <w:suppressLineNumbers w:val="0"/>
        <w:kinsoku/>
        <w:wordWrap/>
        <w:overflowPunct/>
        <w:topLinePunct w:val="0"/>
        <w:autoSpaceDE w:val="0"/>
        <w:autoSpaceDN/>
        <w:bidi w:val="0"/>
        <w:spacing w:before="157" w:beforeLines="50" w:beforeAutospacing="0" w:after="157" w:afterLines="50" w:afterAutospacing="0" w:line="360" w:lineRule="auto"/>
        <w:ind w:left="0" w:right="0" w:firstLine="640" w:firstLineChars="200"/>
        <w:jc w:val="both"/>
        <w:textAlignment w:val="auto"/>
        <w:rPr>
          <w:rFonts w:hint="default" w:ascii="仿宋_GB2312" w:eastAsia="仿宋_GB2312" w:cs="仿宋_GB2312"/>
          <w:color w:val="auto"/>
          <w:kern w:val="2"/>
          <w:sz w:val="32"/>
          <w:szCs w:val="32"/>
        </w:rPr>
      </w:pPr>
      <w:r>
        <w:rPr>
          <w:rFonts w:hint="default" w:ascii="仿宋_GB2312" w:hAnsi="Calibri" w:eastAsia="仿宋_GB2312" w:cs="仿宋_GB2312"/>
          <w:color w:val="auto"/>
          <w:kern w:val="2"/>
          <w:sz w:val="32"/>
          <w:szCs w:val="32"/>
          <w:lang w:val="en-US" w:eastAsia="zh-CN" w:bidi="ar"/>
        </w:rPr>
        <w:t>深化要素市场化配置改革，扩大要素市场化配置范围，健全要素市场体系，完善要素交易规则和服务，实现要素价格市场决定、自主有序流动、高效公平配置，保障各类市场主体平等获取资金、技术、人力资源、土地、数据等各类生产要素。</w:t>
      </w:r>
    </w:p>
    <w:p>
      <w:pPr>
        <w:keepNext w:val="0"/>
        <w:keepLines w:val="0"/>
        <w:pageBreakBefore w:val="0"/>
        <w:widowControl w:val="0"/>
        <w:suppressLineNumbers w:val="0"/>
        <w:kinsoku/>
        <w:wordWrap/>
        <w:overflowPunct/>
        <w:topLinePunct w:val="0"/>
        <w:autoSpaceDE w:val="0"/>
        <w:autoSpaceDN/>
        <w:bidi w:val="0"/>
        <w:spacing w:before="157" w:beforeLines="50" w:beforeAutospacing="0" w:after="157" w:afterLines="50" w:afterAutospacing="0" w:line="360" w:lineRule="auto"/>
        <w:ind w:left="0" w:right="0" w:firstLine="640" w:firstLineChars="200"/>
        <w:jc w:val="both"/>
        <w:textAlignment w:val="auto"/>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第</w:t>
      </w:r>
      <w:r>
        <w:rPr>
          <w:rFonts w:hint="default" w:ascii="仿宋_GB2312" w:hAnsi="Calibri" w:eastAsia="仿宋_GB2312" w:cs="仿宋_GB2312"/>
          <w:kern w:val="2"/>
          <w:sz w:val="32"/>
          <w:szCs w:val="32"/>
          <w:lang w:eastAsia="zh-CN" w:bidi="ar"/>
        </w:rPr>
        <w:t>十四</w:t>
      </w:r>
      <w:r>
        <w:rPr>
          <w:rFonts w:hint="default" w:ascii="仿宋_GB2312" w:hAnsi="Calibri" w:eastAsia="仿宋_GB2312" w:cs="仿宋_GB2312"/>
          <w:kern w:val="2"/>
          <w:sz w:val="32"/>
          <w:szCs w:val="32"/>
          <w:lang w:val="en-US" w:eastAsia="zh-CN" w:bidi="ar"/>
        </w:rPr>
        <w:t>条</w:t>
      </w:r>
      <w:r>
        <w:rPr>
          <w:rFonts w:hint="default" w:ascii="仿宋_GB2312" w:hAnsi="Calibri" w:eastAsia="仿宋_GB2312" w:cs="仿宋_GB2312"/>
          <w:kern w:val="2"/>
          <w:sz w:val="32"/>
          <w:szCs w:val="32"/>
          <w:lang w:eastAsia="zh-CN" w:bidi="ar"/>
        </w:rPr>
        <w:t xml:space="preserve"> </w:t>
      </w:r>
      <w:r>
        <w:rPr>
          <w:rFonts w:hint="eastAsia" w:ascii="仿宋_GB2312" w:hAnsi="仿宋_GB2312" w:eastAsia="仿宋_GB2312" w:cs="仿宋_GB2312"/>
          <w:sz w:val="32"/>
          <w:szCs w:val="32"/>
          <w:u w:val="none"/>
          <w:lang w:val="en-US" w:eastAsia="zh-CN"/>
        </w:rPr>
        <w:t>市、县（市、区）人民政府</w:t>
      </w:r>
      <w:r>
        <w:rPr>
          <w:rFonts w:hint="default" w:ascii="仿宋_GB2312" w:hAnsi="Calibri" w:eastAsia="仿宋_GB2312" w:cs="仿宋_GB2312"/>
          <w:kern w:val="2"/>
          <w:sz w:val="32"/>
          <w:szCs w:val="32"/>
          <w:lang w:val="en-US" w:eastAsia="zh-CN" w:bidi="ar"/>
        </w:rPr>
        <w:t>可以在法律规定范围内制定投资促进政策，加大对创新产业、新兴产业、先进制造业和现代服务业等产业的支持力度。</w:t>
      </w:r>
    </w:p>
    <w:p>
      <w:pPr>
        <w:keepNext w:val="0"/>
        <w:keepLines w:val="0"/>
        <w:pageBreakBefore w:val="0"/>
        <w:widowControl w:val="0"/>
        <w:suppressLineNumbers w:val="0"/>
        <w:kinsoku/>
        <w:wordWrap/>
        <w:overflowPunct/>
        <w:topLinePunct w:val="0"/>
        <w:autoSpaceDE w:val="0"/>
        <w:autoSpaceDN/>
        <w:bidi w:val="0"/>
        <w:spacing w:before="157" w:beforeLines="50" w:beforeAutospacing="0" w:after="157" w:afterLines="50" w:afterAutospacing="0" w:line="360" w:lineRule="auto"/>
        <w:ind w:left="0" w:right="0" w:firstLine="640" w:firstLineChars="200"/>
        <w:jc w:val="both"/>
        <w:textAlignment w:val="auto"/>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完善投资项目服务推进机制，强化跟踪服务，及时协调解决投资项目建设中的重大问题，为各类市场主体提供全流程服务保障。</w:t>
      </w:r>
    </w:p>
    <w:p>
      <w:pPr>
        <w:keepNext w:val="0"/>
        <w:keepLines w:val="0"/>
        <w:pageBreakBefore w:val="0"/>
        <w:widowControl w:val="0"/>
        <w:suppressLineNumbers w:val="0"/>
        <w:kinsoku/>
        <w:wordWrap/>
        <w:overflowPunct/>
        <w:topLinePunct w:val="0"/>
        <w:autoSpaceDE w:val="0"/>
        <w:autoSpaceDN/>
        <w:bidi w:val="0"/>
        <w:spacing w:before="157" w:beforeLines="50" w:beforeAutospacing="0" w:after="157" w:afterLines="50" w:afterAutospacing="0" w:line="360" w:lineRule="auto"/>
        <w:ind w:left="0" w:right="0" w:firstLine="640" w:firstLineChars="200"/>
        <w:jc w:val="both"/>
        <w:textAlignment w:val="auto"/>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第</w:t>
      </w:r>
      <w:r>
        <w:rPr>
          <w:rFonts w:hint="default" w:ascii="仿宋_GB2312" w:hAnsi="Calibri" w:eastAsia="仿宋_GB2312" w:cs="仿宋_GB2312"/>
          <w:kern w:val="2"/>
          <w:sz w:val="32"/>
          <w:szCs w:val="32"/>
          <w:lang w:eastAsia="zh-CN" w:bidi="ar"/>
        </w:rPr>
        <w:t>十五</w:t>
      </w:r>
      <w:r>
        <w:rPr>
          <w:rFonts w:hint="default" w:ascii="仿宋_GB2312" w:hAnsi="Calibri" w:eastAsia="仿宋_GB2312" w:cs="仿宋_GB2312"/>
          <w:kern w:val="2"/>
          <w:sz w:val="32"/>
          <w:szCs w:val="32"/>
          <w:lang w:val="en-US" w:eastAsia="zh-CN" w:bidi="ar"/>
        </w:rPr>
        <w:t>条</w:t>
      </w:r>
      <w:r>
        <w:rPr>
          <w:rFonts w:hint="default" w:ascii="仿宋_GB2312" w:hAnsi="Calibri" w:eastAsia="仿宋_GB2312" w:cs="仿宋_GB2312"/>
          <w:kern w:val="2"/>
          <w:sz w:val="32"/>
          <w:szCs w:val="32"/>
          <w:lang w:eastAsia="zh-CN" w:bidi="ar"/>
        </w:rPr>
        <w:t xml:space="preserve"> </w:t>
      </w:r>
      <w:r>
        <w:rPr>
          <w:rFonts w:hint="eastAsia" w:ascii="仿宋_GB2312" w:hAnsi="仿宋_GB2312" w:eastAsia="仿宋_GB2312" w:cs="仿宋_GB2312"/>
          <w:sz w:val="32"/>
          <w:szCs w:val="32"/>
          <w:u w:val="none"/>
          <w:lang w:val="en-US" w:eastAsia="zh-CN"/>
        </w:rPr>
        <w:t>市、县（市、区）人民政府</w:t>
      </w:r>
      <w:r>
        <w:rPr>
          <w:rFonts w:hint="default" w:ascii="仿宋_GB2312" w:hAnsi="Calibri" w:eastAsia="仿宋_GB2312" w:cs="仿宋_GB2312"/>
          <w:kern w:val="2"/>
          <w:sz w:val="32"/>
          <w:szCs w:val="32"/>
          <w:lang w:val="en-US" w:eastAsia="zh-CN" w:bidi="ar"/>
        </w:rPr>
        <w:t>应当优化创业投资环境，完善创新创业的激励扶持政策，统筹安排各类创新创业的资金，鼓励和引导社会资本参与创新创业投资，强化创业服务支持，完善孵化载体建设。</w:t>
      </w:r>
    </w:p>
    <w:p>
      <w:pPr>
        <w:keepNext w:val="0"/>
        <w:keepLines w:val="0"/>
        <w:pageBreakBefore w:val="0"/>
        <w:widowControl w:val="0"/>
        <w:suppressLineNumbers w:val="0"/>
        <w:kinsoku/>
        <w:wordWrap/>
        <w:overflowPunct/>
        <w:topLinePunct w:val="0"/>
        <w:autoSpaceDE w:val="0"/>
        <w:autoSpaceDN/>
        <w:bidi w:val="0"/>
        <w:spacing w:before="157" w:beforeLines="50" w:beforeAutospacing="0" w:after="157" w:afterLines="50" w:afterAutospacing="0" w:line="360" w:lineRule="auto"/>
        <w:ind w:left="0" w:right="0" w:firstLine="640" w:firstLineChars="200"/>
        <w:jc w:val="both"/>
        <w:textAlignment w:val="auto"/>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第</w:t>
      </w:r>
      <w:r>
        <w:rPr>
          <w:rFonts w:hint="default" w:ascii="仿宋_GB2312" w:hAnsi="Calibri" w:eastAsia="仿宋_GB2312" w:cs="仿宋_GB2312"/>
          <w:kern w:val="2"/>
          <w:sz w:val="32"/>
          <w:szCs w:val="32"/>
          <w:lang w:eastAsia="zh-CN" w:bidi="ar"/>
        </w:rPr>
        <w:t>十六</w:t>
      </w:r>
      <w:r>
        <w:rPr>
          <w:rFonts w:hint="default" w:ascii="仿宋_GB2312" w:hAnsi="Calibri" w:eastAsia="仿宋_GB2312" w:cs="仿宋_GB2312"/>
          <w:kern w:val="2"/>
          <w:sz w:val="32"/>
          <w:szCs w:val="32"/>
          <w:lang w:val="en-US" w:eastAsia="zh-CN" w:bidi="ar"/>
        </w:rPr>
        <w:t xml:space="preserve">条 </w:t>
      </w:r>
      <w:r>
        <w:rPr>
          <w:rFonts w:hint="eastAsia" w:ascii="仿宋_GB2312" w:hAnsi="仿宋_GB2312" w:eastAsia="仿宋_GB2312" w:cs="仿宋_GB2312"/>
          <w:sz w:val="32"/>
          <w:szCs w:val="32"/>
          <w:u w:val="none"/>
          <w:lang w:val="en-US" w:eastAsia="zh-CN"/>
        </w:rPr>
        <w:t>市、县（市、区）人民政府</w:t>
      </w:r>
      <w:r>
        <w:rPr>
          <w:rFonts w:hint="default" w:ascii="仿宋_GB2312" w:hAnsi="Calibri" w:eastAsia="仿宋_GB2312" w:cs="仿宋_GB2312"/>
          <w:kern w:val="2"/>
          <w:sz w:val="32"/>
          <w:szCs w:val="32"/>
          <w:lang w:val="en-US" w:eastAsia="zh-CN" w:bidi="ar"/>
        </w:rPr>
        <w:t>应当加大对中小投资者权益的保护力度，完善中小投资者权益保护机制，提升中小投资者维护合法权益的便利度，依法保障中小投资者的知情权、参与权、表决权、收益权和监督权等合法权利。</w:t>
      </w:r>
    </w:p>
    <w:p>
      <w:pPr>
        <w:keepNext w:val="0"/>
        <w:keepLines w:val="0"/>
        <w:pageBreakBefore w:val="0"/>
        <w:widowControl w:val="0"/>
        <w:suppressLineNumbers w:val="0"/>
        <w:kinsoku/>
        <w:wordWrap/>
        <w:overflowPunct/>
        <w:topLinePunct w:val="0"/>
        <w:autoSpaceDE w:val="0"/>
        <w:autoSpaceDN/>
        <w:bidi w:val="0"/>
        <w:spacing w:before="157" w:beforeLines="50" w:beforeAutospacing="0" w:after="157" w:afterLines="50" w:afterAutospacing="0" w:line="360" w:lineRule="auto"/>
        <w:ind w:left="0" w:right="0" w:firstLine="640" w:firstLineChars="200"/>
        <w:jc w:val="both"/>
        <w:textAlignment w:val="auto"/>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第</w:t>
      </w:r>
      <w:r>
        <w:rPr>
          <w:rFonts w:hint="default" w:ascii="仿宋_GB2312" w:hAnsi="Calibri" w:eastAsia="仿宋_GB2312" w:cs="仿宋_GB2312"/>
          <w:kern w:val="2"/>
          <w:sz w:val="32"/>
          <w:szCs w:val="32"/>
          <w:lang w:eastAsia="zh-CN" w:bidi="ar"/>
        </w:rPr>
        <w:t>十七</w:t>
      </w:r>
      <w:r>
        <w:rPr>
          <w:rFonts w:hint="default" w:ascii="仿宋_GB2312" w:hAnsi="Calibri" w:eastAsia="仿宋_GB2312" w:cs="仿宋_GB2312"/>
          <w:kern w:val="2"/>
          <w:sz w:val="32"/>
          <w:szCs w:val="32"/>
          <w:lang w:val="en-US" w:eastAsia="zh-CN" w:bidi="ar"/>
        </w:rPr>
        <w:t xml:space="preserve">条 </w:t>
      </w:r>
      <w:r>
        <w:rPr>
          <w:rFonts w:hint="eastAsia" w:ascii="仿宋_GB2312" w:hAnsi="仿宋_GB2312" w:eastAsia="仿宋_GB2312" w:cs="仿宋_GB2312"/>
          <w:sz w:val="32"/>
          <w:szCs w:val="32"/>
          <w:u w:val="none"/>
          <w:lang w:val="en-US" w:eastAsia="zh-CN"/>
        </w:rPr>
        <w:t>市、县（市、区）人民政府</w:t>
      </w:r>
      <w:r>
        <w:rPr>
          <w:rFonts w:hint="default" w:ascii="仿宋_GB2312" w:hAnsi="Calibri" w:eastAsia="仿宋_GB2312" w:cs="仿宋_GB2312"/>
          <w:kern w:val="2"/>
          <w:sz w:val="32"/>
          <w:szCs w:val="32"/>
          <w:lang w:val="en-US" w:eastAsia="zh-CN" w:bidi="ar"/>
        </w:rPr>
        <w:t>应当鼓励金融机构开展与中小企业的融资服务对接活动，优化民营企业、中小企业融资服务流程，提高对民营企业、中小企业的支持力度，在依法合规的基础上创新金融产品，为市场主体提供高效便利的金融支持。</w:t>
      </w:r>
    </w:p>
    <w:p>
      <w:pPr>
        <w:keepNext w:val="0"/>
        <w:keepLines w:val="0"/>
        <w:pageBreakBefore w:val="0"/>
        <w:widowControl w:val="0"/>
        <w:suppressLineNumbers w:val="0"/>
        <w:kinsoku/>
        <w:wordWrap/>
        <w:overflowPunct/>
        <w:topLinePunct w:val="0"/>
        <w:autoSpaceDE w:val="0"/>
        <w:autoSpaceDN/>
        <w:bidi w:val="0"/>
        <w:spacing w:before="157" w:beforeLines="50" w:beforeAutospacing="0" w:after="157" w:afterLines="50" w:afterAutospacing="0" w:line="360" w:lineRule="auto"/>
        <w:ind w:left="0" w:right="0" w:firstLine="640" w:firstLineChars="200"/>
        <w:jc w:val="both"/>
        <w:textAlignment w:val="auto"/>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具备条件的</w:t>
      </w:r>
      <w:r>
        <w:rPr>
          <w:rFonts w:hint="eastAsia" w:ascii="仿宋_GB2312" w:hAnsi="仿宋_GB2312" w:eastAsia="仿宋_GB2312" w:cs="仿宋_GB2312"/>
          <w:sz w:val="32"/>
          <w:szCs w:val="32"/>
          <w:u w:val="none"/>
          <w:lang w:val="en-US" w:eastAsia="zh-CN"/>
        </w:rPr>
        <w:t>市、县（市、区）人民政府</w:t>
      </w:r>
      <w:r>
        <w:rPr>
          <w:rFonts w:hint="default" w:ascii="仿宋_GB2312" w:hAnsi="Calibri" w:eastAsia="仿宋_GB2312" w:cs="仿宋_GB2312"/>
          <w:kern w:val="2"/>
          <w:sz w:val="32"/>
          <w:szCs w:val="32"/>
          <w:lang w:val="en-US" w:eastAsia="zh-CN" w:bidi="ar"/>
        </w:rPr>
        <w:t>可以探索</w:t>
      </w:r>
      <w:r>
        <w:rPr>
          <w:rFonts w:hint="eastAsia" w:ascii="仿宋_GB2312" w:hAnsi="Calibri" w:eastAsia="仿宋_GB2312" w:cs="仿宋_GB2312"/>
          <w:kern w:val="2"/>
          <w:sz w:val="32"/>
          <w:szCs w:val="32"/>
          <w:lang w:val="en-US" w:eastAsia="zh-CN" w:bidi="ar"/>
        </w:rPr>
        <w:t>建立金融服务信用信息共享平台，提高跨部门间数据共享能力；探索建立</w:t>
      </w:r>
      <w:r>
        <w:rPr>
          <w:rFonts w:hint="default" w:ascii="仿宋_GB2312" w:hAnsi="Calibri" w:eastAsia="仿宋_GB2312" w:cs="仿宋_GB2312"/>
          <w:kern w:val="2"/>
          <w:sz w:val="32"/>
          <w:szCs w:val="32"/>
          <w:lang w:val="en-US" w:eastAsia="zh-CN" w:bidi="ar"/>
        </w:rPr>
        <w:t>融资担保风险分担补偿机制，推动发展政府性融资担保机构</w:t>
      </w:r>
      <w:r>
        <w:rPr>
          <w:rFonts w:hint="eastAsia" w:ascii="仿宋_GB2312" w:hAnsi="Calibri" w:eastAsia="仿宋_GB2312" w:cs="仿宋_GB2312"/>
          <w:kern w:val="2"/>
          <w:sz w:val="32"/>
          <w:szCs w:val="32"/>
          <w:lang w:val="en-US" w:eastAsia="zh-CN" w:bidi="ar"/>
        </w:rPr>
        <w:t>，设立中小企业信用保证基金</w:t>
      </w:r>
      <w:r>
        <w:rPr>
          <w:rFonts w:hint="default" w:ascii="仿宋_GB2312" w:hAnsi="Calibri" w:eastAsia="仿宋_GB2312" w:cs="仿宋_GB2312"/>
          <w:kern w:val="2"/>
          <w:sz w:val="32"/>
          <w:szCs w:val="32"/>
          <w:lang w:val="en-US" w:eastAsia="zh-CN" w:bidi="ar"/>
        </w:rPr>
        <w:t>。</w:t>
      </w:r>
    </w:p>
    <w:p>
      <w:pPr>
        <w:keepNext w:val="0"/>
        <w:keepLines w:val="0"/>
        <w:pageBreakBefore w:val="0"/>
        <w:widowControl w:val="0"/>
        <w:suppressLineNumbers w:val="0"/>
        <w:kinsoku/>
        <w:wordWrap/>
        <w:overflowPunct/>
        <w:topLinePunct w:val="0"/>
        <w:autoSpaceDE w:val="0"/>
        <w:autoSpaceDN/>
        <w:bidi w:val="0"/>
        <w:spacing w:before="157" w:beforeLines="50" w:beforeAutospacing="0" w:after="157" w:afterLines="50" w:afterAutospacing="0" w:line="360" w:lineRule="auto"/>
        <w:ind w:left="0" w:right="0" w:firstLine="640" w:firstLineChars="200"/>
        <w:jc w:val="both"/>
        <w:textAlignment w:val="auto"/>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第</w:t>
      </w:r>
      <w:r>
        <w:rPr>
          <w:rFonts w:hint="default" w:ascii="仿宋_GB2312" w:hAnsi="Calibri" w:eastAsia="仿宋_GB2312" w:cs="仿宋_GB2312"/>
          <w:kern w:val="2"/>
          <w:sz w:val="32"/>
          <w:szCs w:val="32"/>
          <w:lang w:eastAsia="zh-CN" w:bidi="ar"/>
        </w:rPr>
        <w:t>十八</w:t>
      </w:r>
      <w:r>
        <w:rPr>
          <w:rFonts w:hint="default" w:ascii="仿宋_GB2312" w:hAnsi="Calibri" w:eastAsia="仿宋_GB2312" w:cs="仿宋_GB2312"/>
          <w:kern w:val="2"/>
          <w:sz w:val="32"/>
          <w:szCs w:val="32"/>
          <w:lang w:val="en-US" w:eastAsia="zh-CN" w:bidi="ar"/>
        </w:rPr>
        <w:t>条</w:t>
      </w:r>
      <w:r>
        <w:rPr>
          <w:rFonts w:hint="default" w:ascii="仿宋_GB2312" w:hAnsi="Calibri" w:eastAsia="仿宋_GB2312" w:cs="仿宋_GB2312"/>
          <w:kern w:val="2"/>
          <w:sz w:val="32"/>
          <w:szCs w:val="32"/>
          <w:lang w:eastAsia="zh-CN" w:bidi="ar"/>
        </w:rPr>
        <w:t xml:space="preserve"> </w:t>
      </w:r>
      <w:r>
        <w:rPr>
          <w:rFonts w:hint="eastAsia" w:ascii="仿宋_GB2312" w:hAnsi="仿宋_GB2312" w:eastAsia="仿宋_GB2312" w:cs="仿宋_GB2312"/>
          <w:sz w:val="32"/>
          <w:szCs w:val="32"/>
          <w:u w:val="none"/>
          <w:lang w:val="en-US" w:eastAsia="zh-CN"/>
        </w:rPr>
        <w:t>市、县（市、区）人民政府</w:t>
      </w:r>
      <w:r>
        <w:rPr>
          <w:rFonts w:hint="default" w:ascii="仿宋_GB2312" w:hAnsi="Calibri" w:eastAsia="仿宋_GB2312" w:cs="仿宋_GB2312"/>
          <w:kern w:val="2"/>
          <w:sz w:val="32"/>
          <w:szCs w:val="32"/>
          <w:lang w:val="en-US" w:eastAsia="zh-CN" w:bidi="ar"/>
        </w:rPr>
        <w:t>应当在人才培养、引进、交流、就业等政策方面对各类市场主体平等对待。</w:t>
      </w:r>
    </w:p>
    <w:p>
      <w:pPr>
        <w:keepNext w:val="0"/>
        <w:keepLines w:val="0"/>
        <w:pageBreakBefore w:val="0"/>
        <w:widowControl w:val="0"/>
        <w:suppressLineNumbers w:val="0"/>
        <w:kinsoku/>
        <w:wordWrap/>
        <w:overflowPunct/>
        <w:topLinePunct w:val="0"/>
        <w:autoSpaceDE w:val="0"/>
        <w:autoSpaceDN/>
        <w:bidi w:val="0"/>
        <w:spacing w:before="157" w:beforeLines="50" w:beforeAutospacing="0" w:after="157" w:afterLines="50" w:afterAutospacing="0" w:line="360" w:lineRule="auto"/>
        <w:ind w:left="0" w:right="0" w:firstLine="640" w:firstLineChars="200"/>
        <w:jc w:val="both"/>
        <w:textAlignment w:val="auto"/>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建立健全人才培养、选拔评价、激励保障机制，通过政策和资金扶持吸引高层次人才创新创业，支持市场</w:t>
      </w:r>
      <w:r>
        <w:rPr>
          <w:rFonts w:hint="eastAsia" w:ascii="仿宋_GB2312" w:hAnsi="Calibri" w:eastAsia="仿宋_GB2312" w:cs="仿宋_GB2312"/>
          <w:kern w:val="2"/>
          <w:sz w:val="32"/>
          <w:szCs w:val="32"/>
          <w:lang w:val="en-US" w:eastAsia="zh-CN" w:bidi="ar"/>
        </w:rPr>
        <w:t>主体</w:t>
      </w:r>
      <w:r>
        <w:rPr>
          <w:rFonts w:hint="default" w:ascii="仿宋_GB2312" w:hAnsi="Calibri" w:eastAsia="仿宋_GB2312" w:cs="仿宋_GB2312"/>
          <w:kern w:val="2"/>
          <w:sz w:val="32"/>
          <w:szCs w:val="32"/>
          <w:lang w:val="en-US" w:eastAsia="zh-CN" w:bidi="ar"/>
        </w:rPr>
        <w:t>与高等院校、研究开发机构联合培养高层次人才，鼓励市场主体引</w:t>
      </w:r>
      <w:r>
        <w:rPr>
          <w:rFonts w:hint="eastAsia" w:ascii="仿宋_GB2312" w:hAnsi="Calibri" w:eastAsia="仿宋_GB2312" w:cs="仿宋_GB2312"/>
          <w:kern w:val="2"/>
          <w:sz w:val="32"/>
          <w:szCs w:val="32"/>
          <w:lang w:val="en-US" w:eastAsia="zh-CN" w:bidi="ar"/>
        </w:rPr>
        <w:t>进</w:t>
      </w:r>
      <w:r>
        <w:rPr>
          <w:rFonts w:hint="default" w:ascii="仿宋_GB2312" w:hAnsi="Calibri" w:eastAsia="仿宋_GB2312" w:cs="仿宋_GB2312"/>
          <w:kern w:val="2"/>
          <w:sz w:val="32"/>
          <w:szCs w:val="32"/>
          <w:lang w:val="en-US" w:eastAsia="zh-CN" w:bidi="ar"/>
        </w:rPr>
        <w:t>各类专业技术人才。</w:t>
      </w:r>
    </w:p>
    <w:p>
      <w:pPr>
        <w:keepNext w:val="0"/>
        <w:keepLines w:val="0"/>
        <w:pageBreakBefore w:val="0"/>
        <w:widowControl w:val="0"/>
        <w:suppressLineNumbers w:val="0"/>
        <w:kinsoku/>
        <w:wordWrap/>
        <w:overflowPunct/>
        <w:topLinePunct w:val="0"/>
        <w:autoSpaceDE w:val="0"/>
        <w:autoSpaceDN/>
        <w:bidi w:val="0"/>
        <w:spacing w:before="157" w:beforeLines="50" w:beforeAutospacing="0" w:after="157" w:afterLines="50" w:afterAutospacing="0" w:line="360" w:lineRule="auto"/>
        <w:ind w:left="0" w:right="0" w:firstLine="640" w:firstLineChars="200"/>
        <w:jc w:val="both"/>
        <w:textAlignment w:val="auto"/>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第</w:t>
      </w:r>
      <w:r>
        <w:rPr>
          <w:rFonts w:hint="default" w:ascii="仿宋_GB2312" w:hAnsi="Calibri" w:eastAsia="仿宋_GB2312" w:cs="仿宋_GB2312"/>
          <w:kern w:val="2"/>
          <w:sz w:val="32"/>
          <w:szCs w:val="32"/>
          <w:lang w:eastAsia="zh-CN" w:bidi="ar"/>
        </w:rPr>
        <w:t>十九</w:t>
      </w:r>
      <w:r>
        <w:rPr>
          <w:rFonts w:hint="default" w:ascii="仿宋_GB2312" w:hAnsi="Calibri" w:eastAsia="仿宋_GB2312" w:cs="仿宋_GB2312"/>
          <w:kern w:val="2"/>
          <w:sz w:val="32"/>
          <w:szCs w:val="32"/>
          <w:lang w:val="en-US" w:eastAsia="zh-CN" w:bidi="ar"/>
        </w:rPr>
        <w:t xml:space="preserve">条 </w:t>
      </w:r>
      <w:r>
        <w:rPr>
          <w:rFonts w:hint="eastAsia" w:ascii="仿宋_GB2312" w:hAnsi="仿宋_GB2312" w:eastAsia="仿宋_GB2312" w:cs="仿宋_GB2312"/>
          <w:sz w:val="32"/>
          <w:szCs w:val="32"/>
          <w:u w:val="none"/>
          <w:lang w:val="en-US" w:eastAsia="zh-CN"/>
        </w:rPr>
        <w:t>市、县（市、区）人民政府</w:t>
      </w:r>
      <w:r>
        <w:rPr>
          <w:rFonts w:hint="eastAsia" w:ascii="仿宋_GB2312" w:hAnsi="Calibri" w:eastAsia="仿宋_GB2312" w:cs="仿宋_GB2312"/>
          <w:kern w:val="2"/>
          <w:sz w:val="32"/>
          <w:szCs w:val="32"/>
          <w:lang w:val="en-US" w:eastAsia="zh-CN" w:bidi="ar"/>
        </w:rPr>
        <w:t>应当</w:t>
      </w:r>
      <w:r>
        <w:rPr>
          <w:rFonts w:hint="default" w:ascii="仿宋_GB2312" w:hAnsi="Calibri" w:eastAsia="仿宋_GB2312" w:cs="仿宋_GB2312"/>
          <w:kern w:val="2"/>
          <w:sz w:val="32"/>
          <w:szCs w:val="32"/>
          <w:lang w:val="en-US" w:eastAsia="zh-CN" w:bidi="ar"/>
        </w:rPr>
        <w:t>完善知识产权保护体系建设，开展知识产权保护监测，建立知识产权维权援助机制。鼓励、引导企业建立专利预警制度。严厉打击知识产权侵权假冒行为。组织开展商标、专利侵权假冒专项执法，加大对侵权假冒重点领域、重点市场的案件查办力度。</w:t>
      </w:r>
    </w:p>
    <w:p>
      <w:pPr>
        <w:keepNext w:val="0"/>
        <w:keepLines w:val="0"/>
        <w:pageBreakBefore w:val="0"/>
        <w:widowControl w:val="0"/>
        <w:suppressLineNumbers w:val="0"/>
        <w:kinsoku/>
        <w:wordWrap/>
        <w:overflowPunct/>
        <w:topLinePunct w:val="0"/>
        <w:autoSpaceDE w:val="0"/>
        <w:autoSpaceDN/>
        <w:bidi w:val="0"/>
        <w:spacing w:before="157" w:beforeLines="50" w:beforeAutospacing="0" w:after="157" w:afterLines="50" w:afterAutospacing="0" w:line="360" w:lineRule="auto"/>
        <w:ind w:left="0" w:right="0" w:firstLine="640" w:firstLineChars="200"/>
        <w:jc w:val="both"/>
        <w:textAlignment w:val="auto"/>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完善知识产权行政保护与司法保护衔接机制，推动知识产权公益诉讼，依法实行知识产权侵权惩罚性赔偿制度</w:t>
      </w:r>
      <w:r>
        <w:rPr>
          <w:rFonts w:hint="eastAsia" w:ascii="仿宋_GB2312" w:hAnsi="Calibri" w:eastAsia="仿宋_GB2312" w:cs="仿宋_GB2312"/>
          <w:kern w:val="2"/>
          <w:sz w:val="32"/>
          <w:szCs w:val="32"/>
          <w:lang w:val="en-US" w:eastAsia="zh-CN" w:bidi="ar"/>
        </w:rPr>
        <w:t>，探索建立知识产权风险补偿基金</w:t>
      </w:r>
      <w:r>
        <w:rPr>
          <w:rFonts w:hint="default" w:ascii="仿宋_GB2312" w:hAnsi="Calibri" w:eastAsia="仿宋_GB2312" w:cs="仿宋_GB2312"/>
          <w:kern w:val="2"/>
          <w:sz w:val="32"/>
          <w:szCs w:val="32"/>
          <w:lang w:val="en-US" w:eastAsia="zh-CN" w:bidi="ar"/>
        </w:rPr>
        <w:t>。</w:t>
      </w:r>
    </w:p>
    <w:p>
      <w:pPr>
        <w:keepNext w:val="0"/>
        <w:keepLines w:val="0"/>
        <w:pageBreakBefore w:val="0"/>
        <w:widowControl w:val="0"/>
        <w:suppressLineNumbers w:val="0"/>
        <w:kinsoku/>
        <w:wordWrap/>
        <w:overflowPunct/>
        <w:topLinePunct w:val="0"/>
        <w:autoSpaceDE w:val="0"/>
        <w:autoSpaceDN/>
        <w:bidi w:val="0"/>
        <w:spacing w:before="157" w:beforeLines="50" w:beforeAutospacing="0" w:after="157" w:afterLines="50" w:afterAutospacing="0" w:line="360" w:lineRule="auto"/>
        <w:ind w:left="0" w:right="0" w:firstLine="640" w:firstLineChars="200"/>
        <w:jc w:val="both"/>
        <w:textAlignment w:val="auto"/>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第</w:t>
      </w:r>
      <w:r>
        <w:rPr>
          <w:rFonts w:hint="default" w:ascii="仿宋_GB2312" w:hAnsi="Calibri" w:eastAsia="仿宋_GB2312" w:cs="仿宋_GB2312"/>
          <w:kern w:val="2"/>
          <w:sz w:val="32"/>
          <w:szCs w:val="32"/>
          <w:lang w:eastAsia="zh-CN" w:bidi="ar"/>
        </w:rPr>
        <w:t>二十</w:t>
      </w:r>
      <w:r>
        <w:rPr>
          <w:rFonts w:hint="default" w:ascii="仿宋_GB2312" w:hAnsi="Calibri" w:eastAsia="仿宋_GB2312" w:cs="仿宋_GB2312"/>
          <w:kern w:val="2"/>
          <w:sz w:val="32"/>
          <w:szCs w:val="32"/>
          <w:lang w:val="en-US" w:eastAsia="zh-CN" w:bidi="ar"/>
        </w:rPr>
        <w:t xml:space="preserve">条 </w:t>
      </w:r>
      <w:r>
        <w:rPr>
          <w:rFonts w:hint="eastAsia" w:ascii="仿宋_GB2312" w:hAnsi="仿宋_GB2312" w:eastAsia="仿宋_GB2312" w:cs="仿宋_GB2312"/>
          <w:sz w:val="32"/>
          <w:szCs w:val="32"/>
          <w:u w:val="none"/>
          <w:lang w:val="en-US" w:eastAsia="zh-CN"/>
        </w:rPr>
        <w:t>市、县（市、区）人民政府</w:t>
      </w:r>
      <w:r>
        <w:rPr>
          <w:rFonts w:hint="default" w:ascii="仿宋_GB2312" w:hAnsi="Calibri" w:eastAsia="仿宋_GB2312" w:cs="仿宋_GB2312"/>
          <w:kern w:val="2"/>
          <w:sz w:val="32"/>
          <w:szCs w:val="32"/>
          <w:lang w:val="en-US" w:eastAsia="zh-CN" w:bidi="ar"/>
        </w:rPr>
        <w:t>鼓励培育和发展各类行业协会、商会。支持行业协会、商会加强行业自律，及时反映行业诉求，参与制定和推广实施符合高质量发展要求的行业发展标准、技术服务标准，为市场主体提供信息咨询、宣传培训、市场拓展、权益保护、纠纷处理以及人才评价等方面的服务。</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0"/>
        <w:rPr>
          <w:rFonts w:hint="eastAsia" w:ascii="黑体" w:hAnsi="黑体" w:eastAsia="黑体" w:cs="黑体"/>
          <w:sz w:val="36"/>
          <w:szCs w:val="36"/>
          <w:u w:val="none"/>
          <w:lang w:val="en-US" w:eastAsia="zh-CN"/>
        </w:rPr>
      </w:pPr>
      <w:r>
        <w:rPr>
          <w:rFonts w:hint="eastAsia" w:ascii="黑体" w:hAnsi="黑体" w:eastAsia="黑体" w:cs="黑体"/>
          <w:sz w:val="36"/>
          <w:szCs w:val="36"/>
          <w:u w:val="none"/>
          <w:lang w:val="en-US" w:eastAsia="zh-CN"/>
        </w:rPr>
        <w:t>第三章 市场环境</w:t>
      </w:r>
      <w:bookmarkEnd w:id="2"/>
    </w:p>
    <w:p>
      <w:pPr>
        <w:keepNext w:val="0"/>
        <w:keepLines w:val="0"/>
        <w:pageBreakBefore w:val="0"/>
        <w:widowControl w:val="0"/>
        <w:suppressLineNumbers w:val="0"/>
        <w:kinsoku/>
        <w:wordWrap/>
        <w:overflowPunct/>
        <w:topLinePunct w:val="0"/>
        <w:autoSpaceDE w:val="0"/>
        <w:autoSpaceDN/>
        <w:bidi w:val="0"/>
        <w:spacing w:before="157" w:beforeLines="50" w:beforeAutospacing="0" w:after="157" w:afterLines="50" w:afterAutospacing="0" w:line="360" w:lineRule="auto"/>
        <w:ind w:left="0" w:right="0" w:firstLine="640" w:firstLineChars="200"/>
        <w:jc w:val="both"/>
        <w:textAlignment w:val="auto"/>
        <w:rPr>
          <w:rFonts w:hint="default" w:ascii="仿宋_GB2312" w:eastAsia="仿宋_GB2312" w:cs="仿宋_GB2312"/>
          <w:kern w:val="2"/>
          <w:sz w:val="32"/>
          <w:szCs w:val="32"/>
        </w:rPr>
      </w:pPr>
      <w:bookmarkStart w:id="3" w:name="_Toc16388"/>
      <w:r>
        <w:rPr>
          <w:rFonts w:hint="default" w:ascii="仿宋_GB2312" w:hAnsi="Calibri" w:eastAsia="仿宋_GB2312" w:cs="仿宋_GB2312"/>
          <w:kern w:val="2"/>
          <w:sz w:val="32"/>
          <w:szCs w:val="32"/>
          <w:lang w:val="en-US" w:eastAsia="zh-CN" w:bidi="ar"/>
        </w:rPr>
        <w:t>第</w:t>
      </w:r>
      <w:r>
        <w:rPr>
          <w:rFonts w:hint="default" w:ascii="仿宋_GB2312" w:hAnsi="Calibri" w:eastAsia="仿宋_GB2312" w:cs="仿宋_GB2312"/>
          <w:kern w:val="2"/>
          <w:sz w:val="32"/>
          <w:szCs w:val="32"/>
          <w:lang w:eastAsia="zh-CN" w:bidi="ar"/>
        </w:rPr>
        <w:t>二十一</w:t>
      </w:r>
      <w:r>
        <w:rPr>
          <w:rFonts w:hint="default" w:ascii="仿宋_GB2312" w:hAnsi="Calibri" w:eastAsia="仿宋_GB2312" w:cs="仿宋_GB2312"/>
          <w:kern w:val="2"/>
          <w:sz w:val="32"/>
          <w:szCs w:val="32"/>
          <w:lang w:val="en-US" w:eastAsia="zh-CN" w:bidi="ar"/>
        </w:rPr>
        <w:t>条 全面实行国家统一的市场准入负面清单制度，负面清单以外的领域，各类市场主体均可以依法平等进入。</w:t>
      </w:r>
    </w:p>
    <w:p>
      <w:pPr>
        <w:keepNext w:val="0"/>
        <w:keepLines w:val="0"/>
        <w:pageBreakBefore w:val="0"/>
        <w:widowControl w:val="0"/>
        <w:suppressLineNumbers w:val="0"/>
        <w:kinsoku/>
        <w:wordWrap/>
        <w:overflowPunct/>
        <w:topLinePunct w:val="0"/>
        <w:autoSpaceDE w:val="0"/>
        <w:autoSpaceDN/>
        <w:bidi w:val="0"/>
        <w:spacing w:before="157" w:beforeLines="50" w:beforeAutospacing="0" w:after="157" w:afterLines="50" w:afterAutospacing="0" w:line="360" w:lineRule="auto"/>
        <w:ind w:left="0" w:right="0" w:firstLine="640" w:firstLineChars="200"/>
        <w:jc w:val="both"/>
        <w:textAlignment w:val="auto"/>
        <w:rPr>
          <w:rFonts w:hint="default" w:ascii="仿宋_GB2312" w:eastAsia="仿宋_GB2312" w:cs="仿宋_GB2312"/>
          <w:kern w:val="2"/>
          <w:sz w:val="32"/>
          <w:szCs w:val="32"/>
        </w:rPr>
      </w:pPr>
      <w:r>
        <w:rPr>
          <w:rFonts w:hint="eastAsia" w:ascii="仿宋_GB2312" w:hAnsi="仿宋_GB2312" w:eastAsia="仿宋_GB2312" w:cs="仿宋_GB2312"/>
          <w:sz w:val="32"/>
          <w:szCs w:val="32"/>
          <w:u w:val="none"/>
          <w:lang w:val="en-US" w:eastAsia="zh-CN"/>
        </w:rPr>
        <w:t>市、县（市、区）人民政府</w:t>
      </w:r>
      <w:r>
        <w:rPr>
          <w:rFonts w:hint="eastAsia" w:ascii="仿宋_GB2312" w:hAnsi="Calibri" w:eastAsia="仿宋_GB2312" w:cs="仿宋_GB2312"/>
          <w:kern w:val="2"/>
          <w:sz w:val="32"/>
          <w:szCs w:val="32"/>
          <w:lang w:val="en-US" w:eastAsia="zh-CN" w:bidi="ar"/>
        </w:rPr>
        <w:t>及</w:t>
      </w:r>
      <w:r>
        <w:rPr>
          <w:rFonts w:hint="default" w:ascii="仿宋_GB2312" w:hAnsi="Calibri" w:eastAsia="仿宋_GB2312" w:cs="仿宋_GB2312"/>
          <w:kern w:val="2"/>
          <w:sz w:val="32"/>
          <w:szCs w:val="32"/>
          <w:lang w:val="en-US" w:eastAsia="zh-CN" w:bidi="ar"/>
        </w:rPr>
        <w:t>有关部门不得另行制定市场准入性质的负面清单。</w:t>
      </w:r>
    </w:p>
    <w:p>
      <w:pPr>
        <w:keepNext w:val="0"/>
        <w:keepLines w:val="0"/>
        <w:pageBreakBefore w:val="0"/>
        <w:widowControl w:val="0"/>
        <w:suppressLineNumbers w:val="0"/>
        <w:kinsoku/>
        <w:wordWrap/>
        <w:overflowPunct/>
        <w:topLinePunct w:val="0"/>
        <w:autoSpaceDE w:val="0"/>
        <w:autoSpaceDN/>
        <w:bidi w:val="0"/>
        <w:spacing w:before="157" w:beforeLines="50" w:beforeAutospacing="0" w:after="157" w:afterLines="50" w:afterAutospacing="0" w:line="360" w:lineRule="auto"/>
        <w:ind w:left="0" w:right="0" w:firstLine="640" w:firstLineChars="200"/>
        <w:jc w:val="both"/>
        <w:textAlignment w:val="auto"/>
        <w:rPr>
          <w:rFonts w:hint="eastAsia" w:ascii="仿宋_GB2312" w:hAnsi="Calibri" w:eastAsia="仿宋_GB2312" w:cs="仿宋_GB2312"/>
          <w:kern w:val="2"/>
          <w:sz w:val="32"/>
          <w:szCs w:val="32"/>
          <w:lang w:val="en-US" w:eastAsia="zh-CN" w:bidi="ar"/>
        </w:rPr>
      </w:pPr>
      <w:r>
        <w:rPr>
          <w:rFonts w:hint="default" w:ascii="仿宋_GB2312" w:hAnsi="Calibri" w:eastAsia="仿宋_GB2312" w:cs="仿宋_GB2312"/>
          <w:kern w:val="2"/>
          <w:sz w:val="32"/>
          <w:szCs w:val="32"/>
          <w:lang w:val="en-US" w:eastAsia="zh-CN" w:bidi="ar"/>
        </w:rPr>
        <w:t>第</w:t>
      </w:r>
      <w:r>
        <w:rPr>
          <w:rFonts w:hint="default" w:ascii="仿宋_GB2312" w:hAnsi="Calibri" w:eastAsia="仿宋_GB2312" w:cs="仿宋_GB2312"/>
          <w:kern w:val="2"/>
          <w:sz w:val="32"/>
          <w:szCs w:val="32"/>
          <w:lang w:eastAsia="zh-CN" w:bidi="ar"/>
        </w:rPr>
        <w:t>二十二</w:t>
      </w:r>
      <w:r>
        <w:rPr>
          <w:rFonts w:hint="default" w:ascii="仿宋_GB2312" w:hAnsi="Calibri" w:eastAsia="仿宋_GB2312" w:cs="仿宋_GB2312"/>
          <w:kern w:val="2"/>
          <w:sz w:val="32"/>
          <w:szCs w:val="32"/>
          <w:lang w:val="en-US" w:eastAsia="zh-CN" w:bidi="ar"/>
        </w:rPr>
        <w:t xml:space="preserve">条 </w:t>
      </w:r>
      <w:r>
        <w:rPr>
          <w:rFonts w:hint="eastAsia" w:ascii="仿宋_GB2312" w:hAnsi="仿宋_GB2312" w:eastAsia="仿宋_GB2312" w:cs="仿宋_GB2312"/>
          <w:sz w:val="32"/>
          <w:szCs w:val="32"/>
          <w:u w:val="none"/>
          <w:lang w:val="en-US" w:eastAsia="zh-CN"/>
        </w:rPr>
        <w:t>市、县（市、区）人民政府</w:t>
      </w:r>
      <w:r>
        <w:rPr>
          <w:rFonts w:hint="default" w:ascii="仿宋_GB2312" w:hAnsi="Calibri" w:eastAsia="仿宋_GB2312" w:cs="仿宋_GB2312"/>
          <w:kern w:val="2"/>
          <w:sz w:val="32"/>
          <w:szCs w:val="32"/>
          <w:lang w:val="en-US" w:eastAsia="zh-CN" w:bidi="ar"/>
        </w:rPr>
        <w:t>加快推进</w:t>
      </w:r>
      <w:r>
        <w:rPr>
          <w:rFonts w:hint="eastAsia" w:ascii="仿宋_GB2312" w:hAnsi="Calibri" w:eastAsia="仿宋_GB2312" w:cs="仿宋_GB2312"/>
          <w:kern w:val="2"/>
          <w:sz w:val="32"/>
          <w:szCs w:val="32"/>
          <w:lang w:val="en-US" w:eastAsia="zh-CN" w:bidi="ar"/>
        </w:rPr>
        <w:t>“</w:t>
      </w:r>
      <w:r>
        <w:rPr>
          <w:rFonts w:hint="default" w:ascii="仿宋_GB2312" w:hAnsi="Calibri" w:eastAsia="仿宋_GB2312" w:cs="仿宋_GB2312"/>
          <w:kern w:val="2"/>
          <w:sz w:val="32"/>
          <w:szCs w:val="32"/>
          <w:lang w:val="en-US" w:eastAsia="zh-CN" w:bidi="ar"/>
        </w:rPr>
        <w:t>证照分离</w:t>
      </w:r>
      <w:r>
        <w:rPr>
          <w:rFonts w:hint="eastAsia" w:ascii="仿宋_GB2312" w:hAnsi="Calibri" w:eastAsia="仿宋_GB2312" w:cs="仿宋_GB2312"/>
          <w:kern w:val="2"/>
          <w:sz w:val="32"/>
          <w:szCs w:val="32"/>
          <w:lang w:val="en-US" w:eastAsia="zh-CN" w:bidi="ar"/>
        </w:rPr>
        <w:t>”</w:t>
      </w:r>
      <w:r>
        <w:rPr>
          <w:rFonts w:hint="default" w:ascii="仿宋_GB2312" w:hAnsi="Calibri" w:eastAsia="仿宋_GB2312" w:cs="仿宋_GB2312"/>
          <w:kern w:val="2"/>
          <w:sz w:val="32"/>
          <w:szCs w:val="32"/>
          <w:lang w:val="en-US" w:eastAsia="zh-CN" w:bidi="ar"/>
        </w:rPr>
        <w:t>改革，持续精简涉企经营许可事项，</w:t>
      </w:r>
      <w:r>
        <w:rPr>
          <w:rFonts w:hint="default" w:ascii="仿宋_GB2312" w:hAnsi="Calibri" w:eastAsia="仿宋_GB2312" w:cs="仿宋_GB2312"/>
          <w:kern w:val="2"/>
          <w:sz w:val="32"/>
          <w:szCs w:val="32"/>
          <w:lang w:eastAsia="zh-CN" w:bidi="ar"/>
        </w:rPr>
        <w:t>全面推</w:t>
      </w:r>
      <w:r>
        <w:rPr>
          <w:rFonts w:hint="eastAsia" w:ascii="仿宋_GB2312" w:hAnsi="Calibri" w:eastAsia="仿宋_GB2312" w:cs="仿宋_GB2312"/>
          <w:kern w:val="2"/>
          <w:sz w:val="32"/>
          <w:szCs w:val="32"/>
          <w:lang w:val="en-US" w:eastAsia="zh-CN" w:bidi="ar"/>
        </w:rPr>
        <w:t>行行政审批事项办理告知承诺制。告知承诺的具体事项，由行政审批部门会同有关主管部门制定并向社会公布。</w:t>
      </w:r>
    </w:p>
    <w:p>
      <w:pPr>
        <w:keepNext w:val="0"/>
        <w:keepLines w:val="0"/>
        <w:pageBreakBefore w:val="0"/>
        <w:widowControl w:val="0"/>
        <w:suppressLineNumbers w:val="0"/>
        <w:kinsoku/>
        <w:wordWrap/>
        <w:overflowPunct/>
        <w:topLinePunct w:val="0"/>
        <w:autoSpaceDE w:val="0"/>
        <w:autoSpaceDN/>
        <w:bidi w:val="0"/>
        <w:spacing w:before="157" w:beforeLines="50" w:beforeAutospacing="0" w:after="157" w:afterLines="50" w:afterAutospacing="0" w:line="360" w:lineRule="auto"/>
        <w:ind w:left="0" w:right="0" w:firstLine="640" w:firstLineChars="200"/>
        <w:jc w:val="both"/>
        <w:textAlignment w:val="auto"/>
        <w:rPr>
          <w:rFonts w:hint="default" w:ascii="仿宋_GB2312" w:hAnsi="Calibri" w:eastAsia="仿宋_GB2312" w:cs="仿宋_GB2312"/>
          <w:kern w:val="2"/>
          <w:sz w:val="32"/>
          <w:szCs w:val="32"/>
          <w:lang w:val="en-US" w:eastAsia="zh-CN" w:bidi="ar"/>
        </w:rPr>
      </w:pPr>
      <w:r>
        <w:rPr>
          <w:rFonts w:hint="default" w:ascii="仿宋_GB2312" w:hAnsi="Calibri" w:eastAsia="仿宋_GB2312" w:cs="仿宋_GB2312"/>
          <w:kern w:val="2"/>
          <w:sz w:val="32"/>
          <w:szCs w:val="32"/>
          <w:lang w:val="en-US" w:eastAsia="zh-CN" w:bidi="ar"/>
        </w:rPr>
        <w:t>有关主管部门应当加强对申请人承诺内容的监管，发现承诺</w:t>
      </w:r>
      <w:r>
        <w:rPr>
          <w:rFonts w:hint="eastAsia" w:ascii="仿宋_GB2312" w:hAnsi="Calibri" w:eastAsia="仿宋_GB2312" w:cs="仿宋_GB2312"/>
          <w:kern w:val="2"/>
          <w:sz w:val="32"/>
          <w:szCs w:val="32"/>
          <w:lang w:val="en-US" w:eastAsia="zh-CN" w:bidi="ar"/>
        </w:rPr>
        <w:t>不实</w:t>
      </w:r>
      <w:r>
        <w:rPr>
          <w:rFonts w:hint="default" w:ascii="仿宋_GB2312" w:hAnsi="Calibri" w:eastAsia="仿宋_GB2312" w:cs="仿宋_GB2312"/>
          <w:kern w:val="2"/>
          <w:sz w:val="32"/>
          <w:szCs w:val="32"/>
          <w:lang w:val="en-US" w:eastAsia="zh-CN" w:bidi="ar"/>
        </w:rPr>
        <w:t xml:space="preserve">的，责令限期整改；逾期不整改或者整改后仍不符合条件的，应当依法撤销行政审批决定，并将相关信息纳入信用信息平台。行政审批决定由行政审批部门作出的，有关主管部门应当将相关材料推送行政审批部门，由行政审批部门依法予以撤销。 </w:t>
      </w:r>
    </w:p>
    <w:p>
      <w:pPr>
        <w:keepNext w:val="0"/>
        <w:keepLines w:val="0"/>
        <w:pageBreakBefore w:val="0"/>
        <w:widowControl w:val="0"/>
        <w:suppressLineNumbers w:val="0"/>
        <w:kinsoku/>
        <w:wordWrap/>
        <w:overflowPunct/>
        <w:topLinePunct w:val="0"/>
        <w:autoSpaceDE w:val="0"/>
        <w:autoSpaceDN/>
        <w:bidi w:val="0"/>
        <w:spacing w:before="157" w:beforeLines="50" w:beforeAutospacing="0" w:after="157" w:afterLines="50" w:afterAutospacing="0" w:line="360" w:lineRule="auto"/>
        <w:ind w:left="0" w:right="0" w:firstLine="640" w:firstLineChars="200"/>
        <w:jc w:val="both"/>
        <w:textAlignment w:val="auto"/>
        <w:rPr>
          <w:rFonts w:hint="eastAsia" w:ascii="仿宋_GB2312" w:hAnsi="Calibri" w:eastAsia="仿宋_GB2312" w:cs="仿宋_GB2312"/>
          <w:kern w:val="2"/>
          <w:sz w:val="32"/>
          <w:szCs w:val="32"/>
          <w:lang w:val="en-US" w:eastAsia="zh-CN" w:bidi="ar"/>
        </w:rPr>
      </w:pPr>
      <w:r>
        <w:rPr>
          <w:rFonts w:hint="default" w:ascii="仿宋_GB2312" w:hAnsi="Calibri" w:eastAsia="仿宋_GB2312" w:cs="仿宋_GB2312"/>
          <w:kern w:val="2"/>
          <w:sz w:val="32"/>
          <w:szCs w:val="32"/>
          <w:lang w:val="en-US" w:eastAsia="zh-CN" w:bidi="ar"/>
        </w:rPr>
        <w:t>第二十</w:t>
      </w:r>
      <w:r>
        <w:rPr>
          <w:rFonts w:hint="default" w:ascii="仿宋_GB2312" w:hAnsi="Calibri" w:eastAsia="仿宋_GB2312" w:cs="仿宋_GB2312"/>
          <w:kern w:val="2"/>
          <w:sz w:val="32"/>
          <w:szCs w:val="32"/>
          <w:lang w:eastAsia="zh-CN" w:bidi="ar"/>
        </w:rPr>
        <w:t>三</w:t>
      </w:r>
      <w:r>
        <w:rPr>
          <w:rFonts w:hint="default" w:ascii="仿宋_GB2312" w:hAnsi="Calibri" w:eastAsia="仿宋_GB2312" w:cs="仿宋_GB2312"/>
          <w:kern w:val="2"/>
          <w:sz w:val="32"/>
          <w:szCs w:val="32"/>
          <w:lang w:val="en-US" w:eastAsia="zh-CN" w:bidi="ar"/>
        </w:rPr>
        <w:t>条 实行行政审批与行政监管分离的事项，</w:t>
      </w:r>
      <w:r>
        <w:rPr>
          <w:rFonts w:hint="eastAsia" w:ascii="仿宋_GB2312" w:hAnsi="Calibri" w:eastAsia="仿宋_GB2312" w:cs="仿宋_GB2312"/>
          <w:kern w:val="2"/>
          <w:sz w:val="32"/>
          <w:szCs w:val="32"/>
          <w:lang w:val="en-US" w:eastAsia="zh-CN" w:bidi="ar"/>
        </w:rPr>
        <w:t>应当建立行政审批监管衔接备忘录，确定审批部门和监管部门的职责边界。职责边界划分未明确的，由监管部门继续实施。</w:t>
      </w:r>
    </w:p>
    <w:p>
      <w:pPr>
        <w:keepNext w:val="0"/>
        <w:keepLines w:val="0"/>
        <w:pageBreakBefore w:val="0"/>
        <w:widowControl w:val="0"/>
        <w:suppressLineNumbers w:val="0"/>
        <w:kinsoku/>
        <w:wordWrap/>
        <w:overflowPunct/>
        <w:topLinePunct w:val="0"/>
        <w:autoSpaceDE w:val="0"/>
        <w:autoSpaceDN/>
        <w:bidi w:val="0"/>
        <w:spacing w:before="157" w:beforeLines="50" w:beforeAutospacing="0" w:after="157" w:afterLines="50" w:afterAutospacing="0" w:line="360" w:lineRule="auto"/>
        <w:ind w:left="0" w:right="0" w:firstLine="640" w:firstLineChars="200"/>
        <w:jc w:val="both"/>
        <w:textAlignment w:val="auto"/>
        <w:rPr>
          <w:rFonts w:hint="default" w:ascii="仿宋_GB2312" w:hAnsi="Calibri" w:eastAsia="仿宋_GB2312" w:cs="仿宋_GB2312"/>
          <w:kern w:val="2"/>
          <w:sz w:val="32"/>
          <w:szCs w:val="32"/>
          <w:lang w:val="en-US" w:eastAsia="zh-CN" w:bidi="ar"/>
        </w:rPr>
      </w:pPr>
      <w:r>
        <w:rPr>
          <w:rFonts w:hint="default" w:ascii="仿宋_GB2312" w:hAnsi="Calibri" w:eastAsia="仿宋_GB2312" w:cs="仿宋_GB2312"/>
          <w:kern w:val="2"/>
          <w:sz w:val="32"/>
          <w:szCs w:val="32"/>
          <w:lang w:val="en-US" w:eastAsia="zh-CN" w:bidi="ar"/>
        </w:rPr>
        <w:t>行政审批部门作出审批决定后，应当及时将行政审批相关信息推送给有关主管部门。申请人以承诺方式取得行政审批决定的，行政审批部门应当在推送信息时予以明确。</w:t>
      </w:r>
    </w:p>
    <w:p>
      <w:pPr>
        <w:keepNext w:val="0"/>
        <w:keepLines w:val="0"/>
        <w:pageBreakBefore w:val="0"/>
        <w:widowControl w:val="0"/>
        <w:suppressLineNumbers w:val="0"/>
        <w:kinsoku/>
        <w:wordWrap/>
        <w:overflowPunct/>
        <w:topLinePunct w:val="0"/>
        <w:autoSpaceDE w:val="0"/>
        <w:autoSpaceDN/>
        <w:bidi w:val="0"/>
        <w:spacing w:before="157" w:beforeLines="50" w:beforeAutospacing="0" w:after="157" w:afterLines="50" w:afterAutospacing="0" w:line="360" w:lineRule="auto"/>
        <w:ind w:left="0" w:right="0" w:firstLine="640" w:firstLineChars="200"/>
        <w:jc w:val="both"/>
        <w:textAlignment w:val="auto"/>
        <w:rPr>
          <w:rFonts w:hint="default" w:ascii="仿宋_GB2312" w:hAnsi="Calibri" w:eastAsia="仿宋_GB2312" w:cs="仿宋_GB2312"/>
          <w:kern w:val="2"/>
          <w:sz w:val="32"/>
          <w:szCs w:val="32"/>
          <w:lang w:val="en-US" w:eastAsia="zh-CN" w:bidi="ar"/>
        </w:rPr>
      </w:pPr>
      <w:r>
        <w:rPr>
          <w:rFonts w:hint="default" w:ascii="仿宋_GB2312" w:hAnsi="Calibri" w:eastAsia="仿宋_GB2312" w:cs="仿宋_GB2312"/>
          <w:kern w:val="2"/>
          <w:sz w:val="32"/>
          <w:szCs w:val="32"/>
          <w:lang w:val="en-US" w:eastAsia="zh-CN" w:bidi="ar"/>
        </w:rPr>
        <w:t>有关主管部门在监管中发现需要依法变更、撤回、撤销、注销行政审批决定的，应当及时将相关材料推送行政审批部门。行政审批部门应当依法核实</w:t>
      </w:r>
      <w:r>
        <w:rPr>
          <w:rFonts w:hint="eastAsia" w:ascii="仿宋_GB2312" w:hAnsi="Calibri" w:eastAsia="仿宋_GB2312" w:cs="仿宋_GB2312"/>
          <w:kern w:val="2"/>
          <w:sz w:val="32"/>
          <w:szCs w:val="32"/>
          <w:lang w:val="en-US" w:eastAsia="zh-CN" w:bidi="ar"/>
        </w:rPr>
        <w:t>、</w:t>
      </w:r>
      <w:r>
        <w:rPr>
          <w:rFonts w:hint="default" w:ascii="仿宋_GB2312" w:hAnsi="Calibri" w:eastAsia="仿宋_GB2312" w:cs="仿宋_GB2312"/>
          <w:kern w:val="2"/>
          <w:sz w:val="32"/>
          <w:szCs w:val="32"/>
          <w:lang w:val="en-US" w:eastAsia="zh-CN" w:bidi="ar"/>
        </w:rPr>
        <w:t>处理，处理结果应当及时推送有关主管部门。</w:t>
      </w:r>
    </w:p>
    <w:p>
      <w:pPr>
        <w:keepNext w:val="0"/>
        <w:keepLines w:val="0"/>
        <w:pageBreakBefore w:val="0"/>
        <w:widowControl w:val="0"/>
        <w:suppressLineNumbers w:val="0"/>
        <w:kinsoku/>
        <w:wordWrap/>
        <w:overflowPunct/>
        <w:topLinePunct w:val="0"/>
        <w:autoSpaceDE w:val="0"/>
        <w:autoSpaceDN/>
        <w:bidi w:val="0"/>
        <w:spacing w:before="157" w:beforeLines="50" w:beforeAutospacing="0" w:after="157" w:afterLines="50" w:afterAutospacing="0" w:line="360" w:lineRule="auto"/>
        <w:ind w:left="0" w:right="0" w:firstLine="640" w:firstLineChars="200"/>
        <w:jc w:val="both"/>
        <w:textAlignment w:val="auto"/>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第</w:t>
      </w:r>
      <w:r>
        <w:rPr>
          <w:rFonts w:hint="default" w:ascii="仿宋_GB2312" w:hAnsi="Calibri" w:eastAsia="仿宋_GB2312" w:cs="仿宋_GB2312"/>
          <w:kern w:val="2"/>
          <w:sz w:val="32"/>
          <w:szCs w:val="32"/>
          <w:lang w:eastAsia="zh-CN" w:bidi="ar"/>
        </w:rPr>
        <w:t>二十四</w:t>
      </w:r>
      <w:r>
        <w:rPr>
          <w:rFonts w:hint="default" w:ascii="仿宋_GB2312" w:hAnsi="Calibri" w:eastAsia="仿宋_GB2312" w:cs="仿宋_GB2312"/>
          <w:kern w:val="2"/>
          <w:sz w:val="32"/>
          <w:szCs w:val="32"/>
          <w:lang w:val="en-US" w:eastAsia="zh-CN" w:bidi="ar"/>
        </w:rPr>
        <w:t xml:space="preserve">条 </w:t>
      </w:r>
      <w:r>
        <w:rPr>
          <w:rFonts w:hint="eastAsia" w:ascii="仿宋_GB2312" w:hAnsi="仿宋_GB2312" w:eastAsia="仿宋_GB2312" w:cs="仿宋_GB2312"/>
          <w:sz w:val="32"/>
          <w:szCs w:val="32"/>
          <w:u w:val="none"/>
          <w:lang w:val="en-US" w:eastAsia="zh-CN"/>
        </w:rPr>
        <w:t>市、县（市、区）人民政府</w:t>
      </w:r>
      <w:r>
        <w:rPr>
          <w:rFonts w:hint="eastAsia" w:ascii="仿宋_GB2312" w:hAnsi="Calibri" w:eastAsia="仿宋_GB2312" w:cs="仿宋_GB2312"/>
          <w:kern w:val="2"/>
          <w:sz w:val="32"/>
          <w:szCs w:val="32"/>
          <w:lang w:val="en-US" w:eastAsia="zh-CN" w:bidi="ar"/>
        </w:rPr>
        <w:t>及</w:t>
      </w:r>
      <w:r>
        <w:rPr>
          <w:rFonts w:hint="default" w:ascii="仿宋_GB2312" w:hAnsi="Calibri" w:eastAsia="仿宋_GB2312" w:cs="仿宋_GB2312"/>
          <w:kern w:val="2"/>
          <w:sz w:val="32"/>
          <w:szCs w:val="32"/>
          <w:lang w:val="en-US" w:eastAsia="zh-CN" w:bidi="ar"/>
        </w:rPr>
        <w:t>有关部门应当加大反垄断、反不正当竞争执法力度，有效制止滥用行政权力排除、限制竞争的行为，维护公平竞争的市场环境。</w:t>
      </w:r>
    </w:p>
    <w:p>
      <w:pPr>
        <w:keepNext w:val="0"/>
        <w:keepLines w:val="0"/>
        <w:pageBreakBefore w:val="0"/>
        <w:widowControl w:val="0"/>
        <w:suppressLineNumbers w:val="0"/>
        <w:kinsoku/>
        <w:wordWrap/>
        <w:overflowPunct/>
        <w:topLinePunct w:val="0"/>
        <w:autoSpaceDE w:val="0"/>
        <w:autoSpaceDN/>
        <w:bidi w:val="0"/>
        <w:spacing w:before="157" w:beforeLines="50" w:beforeAutospacing="0" w:after="157" w:afterLines="50" w:afterAutospacing="0" w:line="360" w:lineRule="auto"/>
        <w:ind w:left="0" w:right="0" w:firstLine="640" w:firstLineChars="200"/>
        <w:jc w:val="both"/>
        <w:textAlignment w:val="auto"/>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第</w:t>
      </w:r>
      <w:r>
        <w:rPr>
          <w:rFonts w:hint="default" w:ascii="仿宋_GB2312" w:hAnsi="Calibri" w:eastAsia="仿宋_GB2312" w:cs="仿宋_GB2312"/>
          <w:kern w:val="2"/>
          <w:sz w:val="32"/>
          <w:szCs w:val="32"/>
          <w:lang w:eastAsia="zh-CN" w:bidi="ar"/>
        </w:rPr>
        <w:t>二十五</w:t>
      </w:r>
      <w:r>
        <w:rPr>
          <w:rFonts w:hint="default" w:ascii="仿宋_GB2312" w:hAnsi="Calibri" w:eastAsia="仿宋_GB2312" w:cs="仿宋_GB2312"/>
          <w:kern w:val="2"/>
          <w:sz w:val="32"/>
          <w:szCs w:val="32"/>
          <w:lang w:val="en-US" w:eastAsia="zh-CN" w:bidi="ar"/>
        </w:rPr>
        <w:t xml:space="preserve">条 </w:t>
      </w:r>
      <w:r>
        <w:rPr>
          <w:rFonts w:hint="eastAsia" w:ascii="仿宋_GB2312" w:hAnsi="仿宋_GB2312" w:eastAsia="仿宋_GB2312" w:cs="仿宋_GB2312"/>
          <w:sz w:val="32"/>
          <w:szCs w:val="32"/>
          <w:u w:val="none"/>
          <w:lang w:val="en-US" w:eastAsia="zh-CN"/>
        </w:rPr>
        <w:t>市、县（市、区）人民政府</w:t>
      </w:r>
      <w:r>
        <w:rPr>
          <w:rFonts w:hint="default" w:ascii="仿宋_GB2312" w:hAnsi="Calibri" w:eastAsia="仿宋_GB2312" w:cs="仿宋_GB2312"/>
          <w:kern w:val="2"/>
          <w:sz w:val="32"/>
          <w:szCs w:val="32"/>
          <w:lang w:val="en-US" w:eastAsia="zh-CN" w:bidi="ar"/>
        </w:rPr>
        <w:t>探索推进</w:t>
      </w:r>
      <w:r>
        <w:rPr>
          <w:rFonts w:hint="eastAsia" w:ascii="仿宋_GB2312" w:hAnsi="Calibri" w:eastAsia="仿宋_GB2312" w:cs="仿宋_GB2312"/>
          <w:kern w:val="2"/>
          <w:sz w:val="32"/>
          <w:szCs w:val="32"/>
          <w:lang w:val="en-US" w:eastAsia="zh-CN" w:bidi="ar"/>
        </w:rPr>
        <w:t>“</w:t>
      </w:r>
      <w:r>
        <w:rPr>
          <w:rFonts w:hint="default" w:ascii="仿宋_GB2312" w:hAnsi="Calibri" w:eastAsia="仿宋_GB2312" w:cs="仿宋_GB2312"/>
          <w:kern w:val="2"/>
          <w:sz w:val="32"/>
          <w:szCs w:val="32"/>
          <w:lang w:val="en-US" w:eastAsia="zh-CN" w:bidi="ar"/>
        </w:rPr>
        <w:t>一业一证</w:t>
      </w:r>
      <w:r>
        <w:rPr>
          <w:rFonts w:hint="eastAsia" w:ascii="仿宋_GB2312" w:hAnsi="Calibri" w:eastAsia="仿宋_GB2312" w:cs="仿宋_GB2312"/>
          <w:kern w:val="2"/>
          <w:sz w:val="32"/>
          <w:szCs w:val="32"/>
          <w:lang w:val="en-US" w:eastAsia="zh-CN" w:bidi="ar"/>
        </w:rPr>
        <w:t>”</w:t>
      </w:r>
      <w:r>
        <w:rPr>
          <w:rFonts w:hint="default" w:ascii="仿宋_GB2312" w:hAnsi="Calibri" w:eastAsia="仿宋_GB2312" w:cs="仿宋_GB2312"/>
          <w:kern w:val="2"/>
          <w:sz w:val="32"/>
          <w:szCs w:val="32"/>
          <w:lang w:val="en-US" w:eastAsia="zh-CN" w:bidi="ar"/>
        </w:rPr>
        <w:t>改革，将一个行业准入涉及的多张许可证整合为一张许可证，实现</w:t>
      </w:r>
      <w:r>
        <w:rPr>
          <w:rFonts w:hint="eastAsia" w:ascii="仿宋_GB2312" w:hAnsi="Calibri" w:eastAsia="仿宋_GB2312" w:cs="仿宋_GB2312"/>
          <w:kern w:val="2"/>
          <w:sz w:val="32"/>
          <w:szCs w:val="32"/>
          <w:lang w:val="en-US" w:eastAsia="zh-CN" w:bidi="ar"/>
        </w:rPr>
        <w:t>“</w:t>
      </w:r>
      <w:r>
        <w:rPr>
          <w:rFonts w:hint="default" w:ascii="仿宋_GB2312" w:hAnsi="Calibri" w:eastAsia="仿宋_GB2312" w:cs="仿宋_GB2312"/>
          <w:kern w:val="2"/>
          <w:sz w:val="32"/>
          <w:szCs w:val="32"/>
          <w:lang w:val="en-US" w:eastAsia="zh-CN" w:bidi="ar"/>
        </w:rPr>
        <w:t>一证准营</w:t>
      </w:r>
      <w:r>
        <w:rPr>
          <w:rFonts w:hint="eastAsia" w:ascii="仿宋_GB2312" w:hAnsi="Calibri" w:eastAsia="仿宋_GB2312" w:cs="仿宋_GB2312"/>
          <w:kern w:val="2"/>
          <w:sz w:val="32"/>
          <w:szCs w:val="32"/>
          <w:lang w:val="en-US" w:eastAsia="zh-CN" w:bidi="ar"/>
        </w:rPr>
        <w:t>”</w:t>
      </w:r>
      <w:r>
        <w:rPr>
          <w:rFonts w:hint="default" w:ascii="仿宋_GB2312" w:hAnsi="Calibri" w:eastAsia="仿宋_GB2312" w:cs="仿宋_GB2312"/>
          <w:kern w:val="2"/>
          <w:sz w:val="32"/>
          <w:szCs w:val="32"/>
          <w:lang w:val="en-US" w:eastAsia="zh-CN" w:bidi="ar"/>
        </w:rPr>
        <w:t>、跨地互认通用。在税务、人力资源社会保障、公积金、商业银行等服务领域加快实现电子营业执照、电子印章应用。放宽小微企业、个体工商户登记经营场所限制。</w:t>
      </w:r>
    </w:p>
    <w:p>
      <w:pPr>
        <w:keepNext w:val="0"/>
        <w:keepLines w:val="0"/>
        <w:pageBreakBefore w:val="0"/>
        <w:widowControl w:val="0"/>
        <w:suppressLineNumbers w:val="0"/>
        <w:kinsoku/>
        <w:wordWrap/>
        <w:overflowPunct/>
        <w:topLinePunct w:val="0"/>
        <w:autoSpaceDE w:val="0"/>
        <w:autoSpaceDN/>
        <w:bidi w:val="0"/>
        <w:spacing w:before="157" w:beforeLines="50" w:beforeAutospacing="0" w:after="157" w:afterLines="50" w:afterAutospacing="0" w:line="360" w:lineRule="auto"/>
        <w:ind w:left="0" w:right="0" w:firstLine="640" w:firstLineChars="200"/>
        <w:jc w:val="both"/>
        <w:textAlignment w:val="auto"/>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第</w:t>
      </w:r>
      <w:r>
        <w:rPr>
          <w:rFonts w:hint="default" w:ascii="仿宋_GB2312" w:hAnsi="Calibri" w:eastAsia="仿宋_GB2312" w:cs="仿宋_GB2312"/>
          <w:kern w:val="2"/>
          <w:sz w:val="32"/>
          <w:szCs w:val="32"/>
          <w:lang w:eastAsia="zh-CN" w:bidi="ar"/>
        </w:rPr>
        <w:t>二十六</w:t>
      </w:r>
      <w:r>
        <w:rPr>
          <w:rFonts w:hint="default" w:ascii="仿宋_GB2312" w:hAnsi="Calibri" w:eastAsia="仿宋_GB2312" w:cs="仿宋_GB2312"/>
          <w:kern w:val="2"/>
          <w:sz w:val="32"/>
          <w:szCs w:val="32"/>
          <w:lang w:val="en-US" w:eastAsia="zh-CN" w:bidi="ar"/>
        </w:rPr>
        <w:t xml:space="preserve">条 </w:t>
      </w:r>
      <w:r>
        <w:rPr>
          <w:rFonts w:hint="eastAsia" w:ascii="仿宋_GB2312" w:hAnsi="仿宋_GB2312" w:eastAsia="仿宋_GB2312" w:cs="仿宋_GB2312"/>
          <w:sz w:val="32"/>
          <w:szCs w:val="32"/>
          <w:u w:val="none"/>
          <w:lang w:val="en-US" w:eastAsia="zh-CN"/>
        </w:rPr>
        <w:t>市、县（市、区）人民政府</w:t>
      </w:r>
      <w:r>
        <w:rPr>
          <w:rFonts w:hint="default" w:ascii="仿宋_GB2312" w:hAnsi="Calibri" w:eastAsia="仿宋_GB2312" w:cs="仿宋_GB2312"/>
          <w:kern w:val="2"/>
          <w:sz w:val="32"/>
          <w:szCs w:val="32"/>
          <w:lang w:val="en-US" w:eastAsia="zh-CN" w:bidi="ar"/>
        </w:rPr>
        <w:t>应当落实上级政府关于减轻市场主体负担的措施，做好政策宣传和辅导，及时研究解决政策落实中的具体问题，确保政策全面平等及时地惠及各类市场主体。</w:t>
      </w:r>
    </w:p>
    <w:p>
      <w:pPr>
        <w:keepNext w:val="0"/>
        <w:keepLines w:val="0"/>
        <w:pageBreakBefore w:val="0"/>
        <w:widowControl w:val="0"/>
        <w:suppressLineNumbers w:val="0"/>
        <w:kinsoku/>
        <w:wordWrap/>
        <w:overflowPunct/>
        <w:topLinePunct w:val="0"/>
        <w:autoSpaceDE w:val="0"/>
        <w:autoSpaceDN/>
        <w:bidi w:val="0"/>
        <w:spacing w:before="157" w:beforeLines="50" w:beforeAutospacing="0" w:after="157" w:afterLines="50" w:afterAutospacing="0" w:line="360" w:lineRule="auto"/>
        <w:ind w:left="0" w:right="0" w:firstLine="640" w:firstLineChars="200"/>
        <w:jc w:val="both"/>
        <w:textAlignment w:val="auto"/>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第</w:t>
      </w:r>
      <w:r>
        <w:rPr>
          <w:rFonts w:hint="default" w:ascii="仿宋_GB2312" w:hAnsi="Calibri" w:eastAsia="仿宋_GB2312" w:cs="仿宋_GB2312"/>
          <w:kern w:val="2"/>
          <w:sz w:val="32"/>
          <w:szCs w:val="32"/>
          <w:lang w:eastAsia="zh-CN" w:bidi="ar"/>
        </w:rPr>
        <w:t>二十七</w:t>
      </w:r>
      <w:r>
        <w:rPr>
          <w:rFonts w:hint="default" w:ascii="仿宋_GB2312" w:hAnsi="Calibri" w:eastAsia="仿宋_GB2312" w:cs="仿宋_GB2312"/>
          <w:kern w:val="2"/>
          <w:sz w:val="32"/>
          <w:szCs w:val="32"/>
          <w:lang w:val="en-US" w:eastAsia="zh-CN" w:bidi="ar"/>
        </w:rPr>
        <w:t xml:space="preserve">条 </w:t>
      </w:r>
      <w:r>
        <w:rPr>
          <w:rFonts w:hint="eastAsia" w:ascii="仿宋_GB2312" w:hAnsi="仿宋_GB2312" w:eastAsia="仿宋_GB2312" w:cs="仿宋_GB2312"/>
          <w:sz w:val="32"/>
          <w:szCs w:val="32"/>
          <w:u w:val="none"/>
          <w:lang w:val="en-US" w:eastAsia="zh-CN"/>
        </w:rPr>
        <w:t>市、县（市、区）人民政府</w:t>
      </w:r>
      <w:r>
        <w:rPr>
          <w:rFonts w:hint="default" w:ascii="仿宋_GB2312" w:hAnsi="Calibri" w:eastAsia="仿宋_GB2312" w:cs="仿宋_GB2312"/>
          <w:kern w:val="2"/>
          <w:sz w:val="32"/>
          <w:szCs w:val="32"/>
          <w:lang w:val="en-US" w:eastAsia="zh-CN" w:bidi="ar"/>
        </w:rPr>
        <w:t xml:space="preserve">对依法设立的行政事业性收费、政府性基金、政府定价的经营服务性收费和涉企保证金，实行目录清单管理，动态调整，定期公布。目录清单之外的，一律不得收取。 </w:t>
      </w:r>
    </w:p>
    <w:p>
      <w:pPr>
        <w:keepNext w:val="0"/>
        <w:keepLines w:val="0"/>
        <w:pageBreakBefore w:val="0"/>
        <w:widowControl w:val="0"/>
        <w:suppressLineNumbers w:val="0"/>
        <w:kinsoku/>
        <w:wordWrap/>
        <w:overflowPunct/>
        <w:topLinePunct w:val="0"/>
        <w:autoSpaceDE w:val="0"/>
        <w:autoSpaceDN/>
        <w:bidi w:val="0"/>
        <w:spacing w:before="157" w:beforeLines="50" w:beforeAutospacing="0" w:after="157" w:afterLines="50" w:afterAutospacing="0" w:line="360" w:lineRule="auto"/>
        <w:ind w:left="0" w:right="0" w:firstLine="640" w:firstLineChars="200"/>
        <w:jc w:val="both"/>
        <w:textAlignment w:val="auto"/>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 xml:space="preserve">设立涉企的行政事业性收费、政府定价的经营服务性收费项目、制定收费标准，应当按照国家有关规定执行。收费单位应当将收缴依据和标准在收费场所和单位门户网站进行公示。 </w:t>
      </w:r>
    </w:p>
    <w:p>
      <w:pPr>
        <w:keepNext w:val="0"/>
        <w:keepLines w:val="0"/>
        <w:pageBreakBefore w:val="0"/>
        <w:widowControl w:val="0"/>
        <w:suppressLineNumbers w:val="0"/>
        <w:kinsoku/>
        <w:wordWrap/>
        <w:overflowPunct/>
        <w:topLinePunct w:val="0"/>
        <w:autoSpaceDE w:val="0"/>
        <w:autoSpaceDN/>
        <w:bidi w:val="0"/>
        <w:spacing w:before="157" w:beforeLines="50" w:beforeAutospacing="0" w:after="157" w:afterLines="50" w:afterAutospacing="0" w:line="360" w:lineRule="auto"/>
        <w:ind w:left="0" w:right="0" w:firstLine="640" w:firstLineChars="200"/>
        <w:jc w:val="both"/>
        <w:textAlignment w:val="auto"/>
        <w:rPr>
          <w:rFonts w:hint="default" w:ascii="仿宋_GB2312" w:eastAsia="仿宋_GB2312" w:cs="仿宋_GB2312"/>
          <w:kern w:val="2"/>
          <w:sz w:val="32"/>
          <w:szCs w:val="32"/>
        </w:rPr>
      </w:pPr>
      <w:r>
        <w:rPr>
          <w:rFonts w:hint="eastAsia" w:ascii="仿宋_GB2312" w:hAnsi="仿宋_GB2312" w:eastAsia="仿宋_GB2312" w:cs="仿宋_GB2312"/>
          <w:sz w:val="32"/>
          <w:szCs w:val="32"/>
          <w:u w:val="none"/>
          <w:lang w:val="en-US" w:eastAsia="zh-CN"/>
        </w:rPr>
        <w:t>市、县（市、区）人民政府</w:t>
      </w:r>
      <w:r>
        <w:rPr>
          <w:rFonts w:hint="default" w:ascii="仿宋_GB2312" w:hAnsi="Calibri" w:eastAsia="仿宋_GB2312" w:cs="仿宋_GB2312"/>
          <w:kern w:val="2"/>
          <w:sz w:val="32"/>
          <w:szCs w:val="32"/>
          <w:lang w:val="en-US" w:eastAsia="zh-CN" w:bidi="ar"/>
        </w:rPr>
        <w:t xml:space="preserve">应当推广以金融机构保函替代现金缴纳涉企保证金，并在相关规范和办事指南中予以明确。 </w:t>
      </w:r>
    </w:p>
    <w:p>
      <w:pPr>
        <w:keepNext w:val="0"/>
        <w:keepLines w:val="0"/>
        <w:pageBreakBefore w:val="0"/>
        <w:widowControl w:val="0"/>
        <w:suppressLineNumbers w:val="0"/>
        <w:kinsoku/>
        <w:wordWrap/>
        <w:overflowPunct/>
        <w:topLinePunct w:val="0"/>
        <w:autoSpaceDE w:val="0"/>
        <w:autoSpaceDN/>
        <w:bidi w:val="0"/>
        <w:spacing w:before="157" w:beforeLines="50" w:beforeAutospacing="0" w:after="157" w:afterLines="50" w:afterAutospacing="0" w:line="360" w:lineRule="auto"/>
        <w:ind w:left="0" w:right="0" w:firstLine="640" w:firstLineChars="200"/>
        <w:jc w:val="both"/>
        <w:textAlignment w:val="auto"/>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第</w:t>
      </w:r>
      <w:r>
        <w:rPr>
          <w:rFonts w:hint="default" w:ascii="仿宋_GB2312" w:hAnsi="Calibri" w:eastAsia="仿宋_GB2312" w:cs="仿宋_GB2312"/>
          <w:kern w:val="2"/>
          <w:sz w:val="32"/>
          <w:szCs w:val="32"/>
          <w:lang w:eastAsia="zh-CN" w:bidi="ar"/>
        </w:rPr>
        <w:t>二十八</w:t>
      </w:r>
      <w:r>
        <w:rPr>
          <w:rFonts w:hint="default" w:ascii="仿宋_GB2312" w:hAnsi="Calibri" w:eastAsia="仿宋_GB2312" w:cs="仿宋_GB2312"/>
          <w:kern w:val="2"/>
          <w:sz w:val="32"/>
          <w:szCs w:val="32"/>
          <w:lang w:val="en-US" w:eastAsia="zh-CN" w:bidi="ar"/>
        </w:rPr>
        <w:t xml:space="preserve">条 </w:t>
      </w:r>
      <w:r>
        <w:rPr>
          <w:rFonts w:hint="eastAsia" w:ascii="仿宋_GB2312" w:hAnsi="仿宋_GB2312" w:eastAsia="仿宋_GB2312" w:cs="仿宋_GB2312"/>
          <w:sz w:val="32"/>
          <w:szCs w:val="32"/>
          <w:u w:val="none"/>
          <w:lang w:val="en-US" w:eastAsia="zh-CN"/>
        </w:rPr>
        <w:t>市、县（市、区）人民政府</w:t>
      </w:r>
      <w:r>
        <w:rPr>
          <w:rFonts w:hint="default" w:ascii="仿宋_GB2312" w:hAnsi="Calibri" w:eastAsia="仿宋_GB2312" w:cs="仿宋_GB2312"/>
          <w:kern w:val="2"/>
          <w:sz w:val="32"/>
          <w:szCs w:val="32"/>
          <w:lang w:val="en-US" w:eastAsia="zh-CN" w:bidi="ar"/>
        </w:rPr>
        <w:t>应当完善公共资源交易制度和价格形成机制，实行交易目录清单管理，健全出让、转让规则。建立统一的公共资源交易、服务、监管电子化系统和公共资源交易信用共享机制。</w:t>
      </w:r>
    </w:p>
    <w:p>
      <w:pPr>
        <w:keepNext w:val="0"/>
        <w:keepLines w:val="0"/>
        <w:pageBreakBefore w:val="0"/>
        <w:widowControl w:val="0"/>
        <w:suppressLineNumbers w:val="0"/>
        <w:kinsoku/>
        <w:wordWrap/>
        <w:overflowPunct/>
        <w:topLinePunct w:val="0"/>
        <w:autoSpaceDE w:val="0"/>
        <w:autoSpaceDN/>
        <w:bidi w:val="0"/>
        <w:spacing w:before="157" w:beforeLines="50" w:beforeAutospacing="0" w:after="157" w:afterLines="50" w:afterAutospacing="0" w:line="360" w:lineRule="auto"/>
        <w:ind w:left="0" w:right="0" w:firstLine="640" w:firstLineChars="200"/>
        <w:jc w:val="both"/>
        <w:textAlignment w:val="auto"/>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推进公共资源交易平台跨区域合作，构建区域市场主体信息互认、交易系统联通共享、评标专家资源共享等联动保障机制</w:t>
      </w:r>
      <w:r>
        <w:rPr>
          <w:rFonts w:hint="eastAsia" w:ascii="仿宋_GB2312" w:hAnsi="Calibri" w:eastAsia="仿宋_GB2312" w:cs="仿宋_GB2312"/>
          <w:kern w:val="2"/>
          <w:sz w:val="32"/>
          <w:szCs w:val="32"/>
          <w:lang w:val="en-US" w:eastAsia="zh-CN" w:bidi="ar"/>
        </w:rPr>
        <w:t>，探索远程异地评审工作的推进</w:t>
      </w:r>
      <w:r>
        <w:rPr>
          <w:rFonts w:hint="default" w:ascii="仿宋_GB2312" w:hAnsi="Calibri" w:eastAsia="仿宋_GB2312" w:cs="仿宋_GB2312"/>
          <w:kern w:val="2"/>
          <w:sz w:val="32"/>
          <w:szCs w:val="32"/>
          <w:lang w:val="en-US" w:eastAsia="zh-CN" w:bidi="ar"/>
        </w:rPr>
        <w:t>。</w:t>
      </w:r>
    </w:p>
    <w:p>
      <w:pPr>
        <w:keepNext w:val="0"/>
        <w:keepLines w:val="0"/>
        <w:pageBreakBefore w:val="0"/>
        <w:widowControl w:val="0"/>
        <w:suppressLineNumbers w:val="0"/>
        <w:kinsoku/>
        <w:wordWrap/>
        <w:overflowPunct/>
        <w:topLinePunct w:val="0"/>
        <w:autoSpaceDE w:val="0"/>
        <w:autoSpaceDN/>
        <w:bidi w:val="0"/>
        <w:spacing w:before="157" w:beforeLines="50" w:beforeAutospacing="0" w:after="157" w:afterLines="50" w:afterAutospacing="0" w:line="360" w:lineRule="auto"/>
        <w:ind w:left="0" w:right="0" w:firstLine="640" w:firstLineChars="200"/>
        <w:jc w:val="both"/>
        <w:textAlignment w:val="auto"/>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第</w:t>
      </w:r>
      <w:r>
        <w:rPr>
          <w:rFonts w:hint="default" w:ascii="仿宋_GB2312" w:hAnsi="Calibri" w:eastAsia="仿宋_GB2312" w:cs="仿宋_GB2312"/>
          <w:kern w:val="2"/>
          <w:sz w:val="32"/>
          <w:szCs w:val="32"/>
          <w:lang w:eastAsia="zh-CN" w:bidi="ar"/>
        </w:rPr>
        <w:t>二十九</w:t>
      </w:r>
      <w:r>
        <w:rPr>
          <w:rFonts w:hint="default" w:ascii="仿宋_GB2312" w:hAnsi="Calibri" w:eastAsia="仿宋_GB2312" w:cs="仿宋_GB2312"/>
          <w:kern w:val="2"/>
          <w:sz w:val="32"/>
          <w:szCs w:val="32"/>
          <w:lang w:val="en-US" w:eastAsia="zh-CN" w:bidi="ar"/>
        </w:rPr>
        <w:t xml:space="preserve">条 </w:t>
      </w:r>
      <w:r>
        <w:rPr>
          <w:rFonts w:hint="eastAsia" w:ascii="仿宋_GB2312" w:hAnsi="仿宋_GB2312" w:eastAsia="仿宋_GB2312" w:cs="仿宋_GB2312"/>
          <w:sz w:val="32"/>
          <w:szCs w:val="32"/>
          <w:u w:val="none"/>
          <w:lang w:val="en-US" w:eastAsia="zh-CN"/>
        </w:rPr>
        <w:t>市、县（市、区）人民政府</w:t>
      </w:r>
      <w:r>
        <w:rPr>
          <w:rFonts w:hint="default" w:ascii="仿宋_GB2312" w:hAnsi="Calibri" w:eastAsia="仿宋_GB2312" w:cs="仿宋_GB2312"/>
          <w:kern w:val="2"/>
          <w:sz w:val="32"/>
          <w:szCs w:val="32"/>
          <w:lang w:val="en-US" w:eastAsia="zh-CN" w:bidi="ar"/>
        </w:rPr>
        <w:t>应当</w:t>
      </w:r>
      <w:r>
        <w:rPr>
          <w:rFonts w:hint="eastAsia" w:ascii="仿宋_GB2312" w:hAnsi="Calibri" w:eastAsia="仿宋_GB2312" w:cs="仿宋_GB2312"/>
          <w:kern w:val="2"/>
          <w:sz w:val="32"/>
          <w:szCs w:val="32"/>
          <w:lang w:val="en-US" w:eastAsia="zh-CN" w:bidi="ar"/>
        </w:rPr>
        <w:t>完善</w:t>
      </w:r>
      <w:r>
        <w:rPr>
          <w:rFonts w:hint="default" w:ascii="仿宋_GB2312" w:hAnsi="Calibri" w:eastAsia="仿宋_GB2312" w:cs="仿宋_GB2312"/>
          <w:kern w:val="2"/>
          <w:sz w:val="32"/>
          <w:szCs w:val="32"/>
          <w:lang w:val="en-US" w:eastAsia="zh-CN" w:bidi="ar"/>
        </w:rPr>
        <w:t>社会信用体系建设，持续推进政务诚信、商务诚信、社会诚信和司法公信建设，提高全社会诚信意识和信用水平，维护信用信息安全，严格保护商业秘密和个人隐私。</w:t>
      </w:r>
    </w:p>
    <w:p>
      <w:pPr>
        <w:keepNext w:val="0"/>
        <w:keepLines w:val="0"/>
        <w:pageBreakBefore w:val="0"/>
        <w:widowControl w:val="0"/>
        <w:suppressLineNumbers w:val="0"/>
        <w:kinsoku/>
        <w:wordWrap/>
        <w:overflowPunct/>
        <w:topLinePunct w:val="0"/>
        <w:autoSpaceDE w:val="0"/>
        <w:autoSpaceDN/>
        <w:bidi w:val="0"/>
        <w:spacing w:before="157" w:beforeLines="50" w:beforeAutospacing="0" w:after="157" w:afterLines="50" w:afterAutospacing="0" w:line="360" w:lineRule="auto"/>
        <w:ind w:left="0" w:right="0" w:firstLine="640" w:firstLineChars="200"/>
        <w:jc w:val="both"/>
        <w:textAlignment w:val="auto"/>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第</w:t>
      </w:r>
      <w:r>
        <w:rPr>
          <w:rFonts w:hint="default" w:ascii="仿宋_GB2312" w:hAnsi="Calibri" w:eastAsia="仿宋_GB2312" w:cs="仿宋_GB2312"/>
          <w:kern w:val="2"/>
          <w:sz w:val="32"/>
          <w:szCs w:val="32"/>
          <w:lang w:eastAsia="zh-CN" w:bidi="ar"/>
        </w:rPr>
        <w:t>三十</w:t>
      </w:r>
      <w:r>
        <w:rPr>
          <w:rFonts w:hint="default" w:ascii="仿宋_GB2312" w:hAnsi="Calibri" w:eastAsia="仿宋_GB2312" w:cs="仿宋_GB2312"/>
          <w:kern w:val="2"/>
          <w:sz w:val="32"/>
          <w:szCs w:val="32"/>
          <w:lang w:val="en-US" w:eastAsia="zh-CN" w:bidi="ar"/>
        </w:rPr>
        <w:t xml:space="preserve">条 </w:t>
      </w:r>
      <w:r>
        <w:rPr>
          <w:rFonts w:hint="eastAsia" w:ascii="仿宋_GB2312" w:hAnsi="仿宋_GB2312" w:eastAsia="仿宋_GB2312" w:cs="仿宋_GB2312"/>
          <w:sz w:val="32"/>
          <w:szCs w:val="32"/>
          <w:u w:val="none"/>
          <w:lang w:val="en-US" w:eastAsia="zh-CN"/>
        </w:rPr>
        <w:t>市、县（市、区）人民政府</w:t>
      </w:r>
      <w:r>
        <w:rPr>
          <w:rFonts w:hint="default" w:ascii="仿宋_GB2312" w:hAnsi="Calibri" w:eastAsia="仿宋_GB2312" w:cs="仿宋_GB2312"/>
          <w:kern w:val="2"/>
          <w:sz w:val="32"/>
          <w:szCs w:val="32"/>
          <w:lang w:val="en-US" w:eastAsia="zh-CN" w:bidi="ar"/>
        </w:rPr>
        <w:t>应当按照国家建立统一开放、竞争有序的人力资源市场体系要求，培育国际化、专业化人力资源服务机构，为人力资源合理流动和优化配置提供服务。</w:t>
      </w:r>
    </w:p>
    <w:p>
      <w:pPr>
        <w:keepNext w:val="0"/>
        <w:keepLines w:val="0"/>
        <w:pageBreakBefore w:val="0"/>
        <w:widowControl w:val="0"/>
        <w:suppressLineNumbers w:val="0"/>
        <w:kinsoku/>
        <w:wordWrap/>
        <w:overflowPunct/>
        <w:topLinePunct w:val="0"/>
        <w:autoSpaceDE w:val="0"/>
        <w:autoSpaceDN/>
        <w:bidi w:val="0"/>
        <w:spacing w:before="157" w:beforeLines="50" w:beforeAutospacing="0" w:after="157" w:afterLines="50" w:afterAutospacing="0" w:line="360" w:lineRule="auto"/>
        <w:ind w:left="0" w:right="0" w:firstLine="640" w:firstLineChars="200"/>
        <w:jc w:val="both"/>
        <w:textAlignment w:val="auto"/>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第</w:t>
      </w:r>
      <w:r>
        <w:rPr>
          <w:rFonts w:hint="default" w:ascii="仿宋_GB2312" w:hAnsi="Calibri" w:eastAsia="仿宋_GB2312" w:cs="仿宋_GB2312"/>
          <w:kern w:val="2"/>
          <w:sz w:val="32"/>
          <w:szCs w:val="32"/>
          <w:lang w:eastAsia="zh-CN" w:bidi="ar"/>
        </w:rPr>
        <w:t>三十</w:t>
      </w:r>
      <w:r>
        <w:rPr>
          <w:rFonts w:hint="eastAsia" w:ascii="仿宋_GB2312" w:hAnsi="Calibri" w:eastAsia="仿宋_GB2312" w:cs="仿宋_GB2312"/>
          <w:kern w:val="2"/>
          <w:sz w:val="32"/>
          <w:szCs w:val="32"/>
          <w:lang w:val="en-US" w:eastAsia="zh-CN" w:bidi="ar"/>
        </w:rPr>
        <w:t>一</w:t>
      </w:r>
      <w:r>
        <w:rPr>
          <w:rFonts w:hint="default" w:ascii="仿宋_GB2312" w:hAnsi="Calibri" w:eastAsia="仿宋_GB2312" w:cs="仿宋_GB2312"/>
          <w:kern w:val="2"/>
          <w:sz w:val="32"/>
          <w:szCs w:val="32"/>
          <w:lang w:val="en-US" w:eastAsia="zh-CN" w:bidi="ar"/>
        </w:rPr>
        <w:t>条 全面推行供水、供电、供气、供热等公用事业业务网上办理，在一体化在线政务服务平台开设服务专窗，优化流程、压减申报材料和办理时限。</w:t>
      </w:r>
    </w:p>
    <w:p>
      <w:pPr>
        <w:keepNext w:val="0"/>
        <w:keepLines w:val="0"/>
        <w:pageBreakBefore w:val="0"/>
        <w:widowControl w:val="0"/>
        <w:suppressLineNumbers w:val="0"/>
        <w:kinsoku/>
        <w:wordWrap/>
        <w:overflowPunct/>
        <w:topLinePunct w:val="0"/>
        <w:autoSpaceDE w:val="0"/>
        <w:autoSpaceDN/>
        <w:bidi w:val="0"/>
        <w:spacing w:before="157" w:beforeLines="50" w:beforeAutospacing="0" w:after="157" w:afterLines="50" w:afterAutospacing="0" w:line="360" w:lineRule="auto"/>
        <w:ind w:left="0" w:right="0" w:firstLine="640" w:firstLineChars="200"/>
        <w:jc w:val="both"/>
        <w:textAlignment w:val="auto"/>
        <w:rPr>
          <w:rFonts w:hint="default" w:ascii="仿宋_GB2312" w:hAnsi="Calibri" w:eastAsia="仿宋_GB2312" w:cs="仿宋_GB2312"/>
          <w:kern w:val="2"/>
          <w:sz w:val="32"/>
          <w:szCs w:val="32"/>
          <w:lang w:val="en-US" w:eastAsia="zh-CN" w:bidi="ar"/>
        </w:rPr>
      </w:pPr>
      <w:r>
        <w:rPr>
          <w:rFonts w:hint="default" w:ascii="仿宋_GB2312" w:hAnsi="Calibri" w:eastAsia="仿宋_GB2312" w:cs="仿宋_GB2312"/>
          <w:kern w:val="2"/>
          <w:sz w:val="32"/>
          <w:szCs w:val="32"/>
          <w:lang w:val="en-US" w:eastAsia="zh-CN" w:bidi="ar"/>
        </w:rPr>
        <w:t>公用事业单位应当</w:t>
      </w:r>
      <w:r>
        <w:rPr>
          <w:rFonts w:hint="eastAsia" w:ascii="仿宋_GB2312" w:hAnsi="Calibri" w:eastAsia="仿宋_GB2312" w:cs="仿宋_GB2312"/>
          <w:kern w:val="2"/>
          <w:sz w:val="32"/>
          <w:szCs w:val="32"/>
          <w:lang w:val="en-US" w:eastAsia="zh-CN" w:bidi="ar"/>
        </w:rPr>
        <w:t>提高供应稳定程度，</w:t>
      </w:r>
      <w:r>
        <w:rPr>
          <w:rFonts w:hint="default" w:ascii="仿宋_GB2312" w:hAnsi="Calibri" w:eastAsia="仿宋_GB2312" w:cs="仿宋_GB2312"/>
          <w:kern w:val="2"/>
          <w:sz w:val="32"/>
          <w:szCs w:val="32"/>
          <w:lang w:val="en-US" w:eastAsia="zh-CN" w:bidi="ar"/>
        </w:rPr>
        <w:t>推行服务标准化，确保服务标准公开透明，并提供相关延伸服务和一站式服务。公用事业单位应当对收费项目明码标价，并按照规定报送成本信息。不得强迫市场主体接受不合理的服务条件，不得以任何名义收取不合理的费用。</w:t>
      </w:r>
    </w:p>
    <w:p>
      <w:pPr>
        <w:keepNext w:val="0"/>
        <w:keepLines w:val="0"/>
        <w:pageBreakBefore w:val="0"/>
        <w:widowControl w:val="0"/>
        <w:suppressLineNumbers w:val="0"/>
        <w:kinsoku/>
        <w:wordWrap/>
        <w:overflowPunct/>
        <w:topLinePunct w:val="0"/>
        <w:autoSpaceDE w:val="0"/>
        <w:autoSpaceDN/>
        <w:bidi w:val="0"/>
        <w:spacing w:before="157" w:beforeLines="50" w:beforeAutospacing="0" w:after="157" w:afterLines="50" w:afterAutospacing="0" w:line="360" w:lineRule="auto"/>
        <w:ind w:left="0" w:right="0" w:firstLine="640" w:firstLineChars="200"/>
        <w:jc w:val="both"/>
        <w:textAlignment w:val="auto"/>
        <w:rPr>
          <w:rFonts w:hint="default" w:ascii="仿宋_GB2312" w:hAnsi="Calibri" w:eastAsia="仿宋_GB2312" w:cs="仿宋_GB2312"/>
          <w:kern w:val="2"/>
          <w:sz w:val="32"/>
          <w:szCs w:val="32"/>
          <w:lang w:val="en-US" w:eastAsia="zh-CN" w:bidi="ar"/>
        </w:rPr>
      </w:pPr>
      <w:r>
        <w:rPr>
          <w:rFonts w:hint="default" w:ascii="仿宋_GB2312" w:hAnsi="Calibri" w:eastAsia="仿宋_GB2312" w:cs="仿宋_GB2312"/>
          <w:kern w:val="2"/>
          <w:sz w:val="32"/>
          <w:szCs w:val="32"/>
          <w:lang w:val="en-US" w:eastAsia="zh-CN" w:bidi="ar"/>
        </w:rPr>
        <w:t>第</w:t>
      </w:r>
      <w:r>
        <w:rPr>
          <w:rFonts w:hint="eastAsia" w:ascii="仿宋_GB2312" w:hAnsi="Calibri" w:eastAsia="仿宋_GB2312" w:cs="仿宋_GB2312"/>
          <w:kern w:val="2"/>
          <w:sz w:val="32"/>
          <w:szCs w:val="32"/>
          <w:lang w:val="en-US" w:eastAsia="zh-CN" w:bidi="ar"/>
        </w:rPr>
        <w:t>三十二</w:t>
      </w:r>
      <w:r>
        <w:rPr>
          <w:rFonts w:hint="default" w:ascii="仿宋_GB2312" w:hAnsi="Calibri" w:eastAsia="仿宋_GB2312" w:cs="仿宋_GB2312"/>
          <w:kern w:val="2"/>
          <w:sz w:val="32"/>
          <w:szCs w:val="32"/>
          <w:lang w:val="en-US" w:eastAsia="zh-CN" w:bidi="ar"/>
        </w:rPr>
        <w:t xml:space="preserve">条 </w:t>
      </w:r>
      <w:r>
        <w:rPr>
          <w:rFonts w:hint="eastAsia" w:ascii="仿宋_GB2312" w:hAnsi="仿宋_GB2312" w:eastAsia="仿宋_GB2312" w:cs="仿宋_GB2312"/>
          <w:sz w:val="32"/>
          <w:szCs w:val="32"/>
          <w:u w:val="none"/>
          <w:lang w:val="en-US" w:eastAsia="zh-CN"/>
        </w:rPr>
        <w:t>市、县（市、区）人民政府</w:t>
      </w:r>
      <w:r>
        <w:rPr>
          <w:rFonts w:hint="default" w:ascii="仿宋_GB2312" w:hAnsi="Calibri" w:eastAsia="仿宋_GB2312" w:cs="仿宋_GB2312"/>
          <w:kern w:val="2"/>
          <w:sz w:val="32"/>
          <w:szCs w:val="32"/>
          <w:lang w:val="en-US" w:eastAsia="zh-CN" w:bidi="ar"/>
        </w:rPr>
        <w:t>应当与人民法院建立</w:t>
      </w:r>
      <w:r>
        <w:rPr>
          <w:rFonts w:hint="eastAsia" w:ascii="仿宋_GB2312" w:hAnsi="Calibri" w:eastAsia="仿宋_GB2312" w:cs="仿宋_GB2312"/>
          <w:kern w:val="2"/>
          <w:sz w:val="32"/>
          <w:szCs w:val="32"/>
          <w:lang w:val="en-US" w:eastAsia="zh-CN" w:bidi="ar"/>
        </w:rPr>
        <w:t>完善</w:t>
      </w:r>
      <w:r>
        <w:rPr>
          <w:rFonts w:hint="default" w:ascii="仿宋_GB2312" w:hAnsi="Calibri" w:eastAsia="仿宋_GB2312" w:cs="仿宋_GB2312"/>
          <w:kern w:val="2"/>
          <w:sz w:val="32"/>
          <w:szCs w:val="32"/>
          <w:lang w:val="en-US" w:eastAsia="zh-CN" w:bidi="ar"/>
        </w:rPr>
        <w:t>企业破产工作协调机制，协调解决企业破产启动、资产处置、信用修复、涉税事项办理、破产企业重组、职工社会保险关系转移、退休人员社会化管理、档案接转等事项</w:t>
      </w:r>
      <w:r>
        <w:rPr>
          <w:rFonts w:hint="eastAsia" w:ascii="仿宋_GB2312" w:hAnsi="Calibri" w:eastAsia="仿宋_GB2312" w:cs="仿宋_GB2312"/>
          <w:kern w:val="2"/>
          <w:sz w:val="32"/>
          <w:szCs w:val="32"/>
          <w:lang w:val="en-US" w:eastAsia="zh-CN" w:bidi="ar"/>
        </w:rPr>
        <w:t>。</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0"/>
        <w:rPr>
          <w:rFonts w:hint="eastAsia" w:ascii="黑体" w:hAnsi="黑体" w:eastAsia="黑体" w:cs="黑体"/>
          <w:sz w:val="36"/>
          <w:szCs w:val="36"/>
          <w:u w:val="none"/>
          <w:lang w:val="en-US" w:eastAsia="zh-CN"/>
        </w:rPr>
      </w:pPr>
      <w:r>
        <w:rPr>
          <w:rFonts w:hint="eastAsia" w:ascii="黑体" w:hAnsi="黑体" w:eastAsia="黑体" w:cs="黑体"/>
          <w:sz w:val="36"/>
          <w:szCs w:val="36"/>
          <w:u w:val="none"/>
          <w:lang w:val="en-US" w:eastAsia="zh-CN"/>
        </w:rPr>
        <w:t>第四章  政务服务</w:t>
      </w:r>
      <w:bookmarkEnd w:id="3"/>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640" w:firstLineChars="200"/>
        <w:textAlignment w:val="auto"/>
        <w:rPr>
          <w:rFonts w:hint="default" w:ascii="仿宋_GB2312" w:hAnsi="仿宋_GB2312" w:eastAsia="仿宋_GB2312" w:cs="仿宋_GB2312"/>
          <w:sz w:val="32"/>
          <w:szCs w:val="32"/>
          <w:u w:val="none"/>
          <w:lang w:eastAsia="zh-CN"/>
        </w:rPr>
      </w:pPr>
      <w:r>
        <w:rPr>
          <w:rFonts w:hint="default" w:ascii="仿宋_GB2312" w:hAnsi="仿宋_GB2312" w:eastAsia="仿宋_GB2312" w:cs="仿宋_GB2312"/>
          <w:sz w:val="32"/>
          <w:szCs w:val="32"/>
          <w:u w:val="none"/>
          <w:lang w:eastAsia="zh-CN"/>
        </w:rPr>
        <w:t>第三十</w:t>
      </w:r>
      <w:r>
        <w:rPr>
          <w:rFonts w:hint="eastAsia" w:ascii="仿宋_GB2312" w:hAnsi="仿宋_GB2312" w:eastAsia="仿宋_GB2312" w:cs="仿宋_GB2312"/>
          <w:sz w:val="32"/>
          <w:szCs w:val="32"/>
          <w:u w:val="none"/>
          <w:lang w:val="en-US" w:eastAsia="zh-CN"/>
        </w:rPr>
        <w:t>三</w:t>
      </w:r>
      <w:r>
        <w:rPr>
          <w:rFonts w:hint="default" w:ascii="仿宋_GB2312" w:hAnsi="仿宋_GB2312" w:eastAsia="仿宋_GB2312" w:cs="仿宋_GB2312"/>
          <w:sz w:val="32"/>
          <w:szCs w:val="32"/>
          <w:u w:val="none"/>
          <w:lang w:eastAsia="zh-CN"/>
        </w:rPr>
        <w:t>条</w:t>
      </w:r>
      <w:r>
        <w:rPr>
          <w:rFonts w:hint="eastAsia" w:ascii="仿宋_GB2312" w:hAnsi="仿宋_GB2312" w:eastAsia="仿宋_GB2312" w:cs="仿宋_GB2312"/>
          <w:sz w:val="32"/>
          <w:szCs w:val="32"/>
          <w:u w:val="none"/>
          <w:lang w:val="en-US" w:eastAsia="zh-CN"/>
        </w:rPr>
        <w:t xml:space="preserve"> 市、县（市、区）人民政府及有关部门</w:t>
      </w:r>
      <w:r>
        <w:rPr>
          <w:rFonts w:hint="default" w:ascii="仿宋_GB2312" w:hAnsi="仿宋_GB2312" w:eastAsia="仿宋_GB2312" w:cs="仿宋_GB2312"/>
          <w:sz w:val="32"/>
          <w:szCs w:val="32"/>
          <w:u w:val="none"/>
          <w:lang w:eastAsia="zh-CN"/>
        </w:rPr>
        <w:t>应当进一步增强服务意识</w:t>
      </w:r>
      <w:r>
        <w:rPr>
          <w:rFonts w:hint="eastAsia" w:ascii="仿宋_GB2312" w:hAnsi="仿宋_GB2312" w:eastAsia="仿宋_GB2312" w:cs="仿宋_GB2312"/>
          <w:sz w:val="32"/>
          <w:szCs w:val="32"/>
          <w:u w:val="none"/>
          <w:lang w:eastAsia="zh-CN"/>
        </w:rPr>
        <w:t>，</w:t>
      </w:r>
      <w:r>
        <w:rPr>
          <w:rFonts w:hint="default" w:ascii="仿宋_GB2312" w:hAnsi="仿宋_GB2312" w:eastAsia="仿宋_GB2312" w:cs="仿宋_GB2312"/>
          <w:sz w:val="32"/>
          <w:szCs w:val="32"/>
          <w:u w:val="none"/>
          <w:lang w:eastAsia="zh-CN"/>
        </w:rPr>
        <w:t>切实改变工作作风</w:t>
      </w:r>
      <w:r>
        <w:rPr>
          <w:rFonts w:hint="eastAsia" w:ascii="仿宋_GB2312" w:hAnsi="仿宋_GB2312" w:eastAsia="仿宋_GB2312" w:cs="仿宋_GB2312"/>
          <w:sz w:val="32"/>
          <w:szCs w:val="32"/>
          <w:u w:val="none"/>
          <w:lang w:eastAsia="zh-CN"/>
        </w:rPr>
        <w:t>，</w:t>
      </w:r>
      <w:r>
        <w:rPr>
          <w:rFonts w:hint="default" w:ascii="仿宋_GB2312" w:hAnsi="仿宋_GB2312" w:eastAsia="仿宋_GB2312" w:cs="仿宋_GB2312"/>
          <w:sz w:val="32"/>
          <w:szCs w:val="32"/>
          <w:u w:val="none"/>
          <w:lang w:eastAsia="zh-CN"/>
        </w:rPr>
        <w:t>为市场主体提供规范、便利、高效的政务服务。</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textAlignment w:val="auto"/>
        <w:rPr>
          <w:rFonts w:hint="default" w:ascii="仿宋_GB2312" w:hAnsi="仿宋_GB2312" w:eastAsia="仿宋_GB2312" w:cs="仿宋_GB2312"/>
          <w:sz w:val="32"/>
          <w:szCs w:val="32"/>
          <w:u w:val="none"/>
          <w:lang w:eastAsia="zh-CN"/>
        </w:rPr>
      </w:pPr>
      <w:r>
        <w:rPr>
          <w:rFonts w:hint="default" w:ascii="仿宋_GB2312" w:hAnsi="仿宋_GB2312" w:eastAsia="仿宋_GB2312" w:cs="仿宋_GB2312"/>
          <w:sz w:val="32"/>
          <w:szCs w:val="32"/>
          <w:u w:val="none"/>
          <w:lang w:eastAsia="zh-CN"/>
        </w:rPr>
        <w:t xml:space="preserve">    </w:t>
      </w:r>
      <w:r>
        <w:rPr>
          <w:rFonts w:hint="eastAsia" w:ascii="仿宋_GB2312" w:hAnsi="仿宋_GB2312" w:eastAsia="仿宋_GB2312" w:cs="仿宋_GB2312"/>
          <w:sz w:val="32"/>
          <w:szCs w:val="32"/>
          <w:u w:val="none"/>
          <w:lang w:val="en-US" w:eastAsia="zh-CN"/>
        </w:rPr>
        <w:t>第</w:t>
      </w:r>
      <w:r>
        <w:rPr>
          <w:rFonts w:hint="default" w:ascii="仿宋_GB2312" w:hAnsi="仿宋_GB2312" w:eastAsia="仿宋_GB2312" w:cs="仿宋_GB2312"/>
          <w:sz w:val="32"/>
          <w:szCs w:val="32"/>
          <w:u w:val="none"/>
          <w:lang w:eastAsia="zh-CN"/>
        </w:rPr>
        <w:t>三十</w:t>
      </w:r>
      <w:r>
        <w:rPr>
          <w:rFonts w:hint="eastAsia" w:ascii="仿宋_GB2312" w:hAnsi="仿宋_GB2312" w:eastAsia="仿宋_GB2312" w:cs="仿宋_GB2312"/>
          <w:sz w:val="32"/>
          <w:szCs w:val="32"/>
          <w:u w:val="none"/>
          <w:lang w:val="en-US" w:eastAsia="zh-CN"/>
        </w:rPr>
        <w:t>四条 市、县（市、区）人民政府</w:t>
      </w:r>
      <w:r>
        <w:rPr>
          <w:rFonts w:hint="default" w:ascii="仿宋_GB2312" w:hAnsi="仿宋_GB2312" w:eastAsia="仿宋_GB2312" w:cs="仿宋_GB2312"/>
          <w:sz w:val="32"/>
          <w:szCs w:val="32"/>
          <w:u w:val="none"/>
          <w:lang w:eastAsia="zh-CN"/>
        </w:rPr>
        <w:t>应组织有关部门根据全省统一政务服务事项目录细化本地政务服务标准，制定政务服务事项标准化流程，依照减环节、减材料、减时限的原则搭建一个办理平台</w:t>
      </w:r>
      <w:r>
        <w:rPr>
          <w:rFonts w:hint="eastAsia" w:ascii="仿宋_GB2312" w:hAnsi="仿宋_GB2312" w:eastAsia="仿宋_GB2312" w:cs="仿宋_GB2312"/>
          <w:sz w:val="32"/>
          <w:szCs w:val="32"/>
          <w:u w:val="none"/>
          <w:lang w:eastAsia="zh-CN"/>
        </w:rPr>
        <w:t>，</w:t>
      </w:r>
      <w:r>
        <w:rPr>
          <w:rFonts w:hint="default" w:ascii="仿宋_GB2312" w:hAnsi="仿宋_GB2312" w:eastAsia="仿宋_GB2312" w:cs="仿宋_GB2312"/>
          <w:sz w:val="32"/>
          <w:szCs w:val="32"/>
          <w:u w:val="none"/>
          <w:lang w:eastAsia="zh-CN"/>
        </w:rPr>
        <w:t>做到线上线下同一服务标准，实现对同一事项的无差别受理</w:t>
      </w:r>
      <w:r>
        <w:rPr>
          <w:rFonts w:hint="eastAsia" w:ascii="仿宋_GB2312" w:hAnsi="仿宋_GB2312" w:eastAsia="仿宋_GB2312" w:cs="仿宋_GB2312"/>
          <w:sz w:val="32"/>
          <w:szCs w:val="32"/>
          <w:u w:val="none"/>
          <w:lang w:eastAsia="zh-CN"/>
        </w:rPr>
        <w:t>，</w:t>
      </w:r>
      <w:r>
        <w:rPr>
          <w:rFonts w:hint="default" w:ascii="仿宋_GB2312" w:hAnsi="仿宋_GB2312" w:eastAsia="仿宋_GB2312" w:cs="仿宋_GB2312"/>
          <w:sz w:val="32"/>
          <w:szCs w:val="32"/>
          <w:u w:val="none"/>
          <w:lang w:eastAsia="zh-CN"/>
        </w:rPr>
        <w:t>同标准办理。没有法律、法规、规章依据</w:t>
      </w:r>
      <w:r>
        <w:rPr>
          <w:rFonts w:hint="eastAsia" w:ascii="仿宋_GB2312" w:hAnsi="仿宋_GB2312" w:eastAsia="仿宋_GB2312" w:cs="仿宋_GB2312"/>
          <w:sz w:val="32"/>
          <w:szCs w:val="32"/>
          <w:u w:val="none"/>
          <w:lang w:eastAsia="zh-CN"/>
        </w:rPr>
        <w:t>，</w:t>
      </w:r>
      <w:r>
        <w:rPr>
          <w:rFonts w:hint="default" w:ascii="仿宋_GB2312" w:hAnsi="仿宋_GB2312" w:eastAsia="仿宋_GB2312" w:cs="仿宋_GB2312"/>
          <w:sz w:val="32"/>
          <w:szCs w:val="32"/>
          <w:u w:val="none"/>
          <w:lang w:eastAsia="zh-CN"/>
        </w:rPr>
        <w:t>不得增设政务服务事项等办理条件和环节</w:t>
      </w:r>
      <w:r>
        <w:rPr>
          <w:rFonts w:hint="eastAsia" w:ascii="仿宋_GB2312" w:hAnsi="仿宋_GB2312" w:eastAsia="仿宋_GB2312" w:cs="仿宋_GB2312"/>
          <w:sz w:val="32"/>
          <w:szCs w:val="32"/>
          <w:u w:val="none"/>
          <w:lang w:eastAsia="zh-CN"/>
        </w:rPr>
        <w:t>，</w:t>
      </w:r>
      <w:r>
        <w:rPr>
          <w:rFonts w:hint="default" w:ascii="仿宋_GB2312" w:hAnsi="仿宋_GB2312" w:eastAsia="仿宋_GB2312" w:cs="仿宋_GB2312"/>
          <w:sz w:val="32"/>
          <w:szCs w:val="32"/>
          <w:u w:val="none"/>
          <w:lang w:eastAsia="zh-CN"/>
        </w:rPr>
        <w:t>办事指南中的办理条件、所需材料不得含有其他、有关等模糊性兜底要求。</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640" w:firstLineChars="200"/>
        <w:textAlignment w:val="auto"/>
        <w:rPr>
          <w:rFonts w:hint="default" w:ascii="仿宋_GB2312" w:hAnsi="仿宋_GB2312" w:eastAsia="仿宋_GB2312" w:cs="仿宋_GB2312"/>
          <w:sz w:val="32"/>
          <w:szCs w:val="32"/>
          <w:u w:val="none"/>
          <w:lang w:eastAsia="zh-CN"/>
        </w:rPr>
      </w:pPr>
      <w:r>
        <w:rPr>
          <w:rFonts w:hint="default" w:ascii="仿宋_GB2312" w:hAnsi="仿宋_GB2312" w:eastAsia="仿宋_GB2312" w:cs="仿宋_GB2312"/>
          <w:sz w:val="32"/>
          <w:szCs w:val="32"/>
          <w:u w:val="none"/>
          <w:lang w:eastAsia="zh-CN"/>
        </w:rPr>
        <w:t>第三十</w:t>
      </w:r>
      <w:r>
        <w:rPr>
          <w:rFonts w:hint="eastAsia" w:ascii="仿宋_GB2312" w:hAnsi="仿宋_GB2312" w:eastAsia="仿宋_GB2312" w:cs="仿宋_GB2312"/>
          <w:sz w:val="32"/>
          <w:szCs w:val="32"/>
          <w:u w:val="none"/>
          <w:lang w:val="en-US" w:eastAsia="zh-CN"/>
        </w:rPr>
        <w:t>五</w:t>
      </w:r>
      <w:r>
        <w:rPr>
          <w:rFonts w:hint="default" w:ascii="仿宋_GB2312" w:hAnsi="仿宋_GB2312" w:eastAsia="仿宋_GB2312" w:cs="仿宋_GB2312"/>
          <w:sz w:val="32"/>
          <w:szCs w:val="32"/>
          <w:u w:val="none"/>
          <w:lang w:eastAsia="zh-CN"/>
        </w:rPr>
        <w:t>条</w:t>
      </w:r>
      <w:r>
        <w:rPr>
          <w:rFonts w:hint="eastAsia" w:ascii="仿宋_GB2312" w:hAnsi="仿宋_GB2312" w:eastAsia="仿宋_GB2312" w:cs="仿宋_GB2312"/>
          <w:sz w:val="32"/>
          <w:szCs w:val="32"/>
          <w:u w:val="none"/>
          <w:lang w:val="en-US" w:eastAsia="zh-CN"/>
        </w:rPr>
        <w:t xml:space="preserve"> </w:t>
      </w:r>
      <w:r>
        <w:rPr>
          <w:rFonts w:hint="default" w:ascii="仿宋_GB2312" w:hAnsi="仿宋_GB2312" w:eastAsia="仿宋_GB2312" w:cs="仿宋_GB2312"/>
          <w:sz w:val="32"/>
          <w:szCs w:val="32"/>
          <w:u w:val="none"/>
          <w:lang w:eastAsia="zh-CN"/>
        </w:rPr>
        <w:t>加快</w:t>
      </w:r>
      <w:r>
        <w:rPr>
          <w:rFonts w:hint="eastAsia" w:ascii="仿宋_GB2312" w:hAnsi="仿宋_GB2312" w:eastAsia="仿宋_GB2312" w:cs="仿宋_GB2312"/>
          <w:sz w:val="32"/>
          <w:szCs w:val="32"/>
          <w:u w:val="none"/>
          <w:lang w:val="en-US" w:eastAsia="zh-CN"/>
        </w:rPr>
        <w:t>市、县（市、区）人民政府</w:t>
      </w:r>
      <w:r>
        <w:rPr>
          <w:rFonts w:hint="default" w:ascii="仿宋_GB2312" w:hAnsi="仿宋_GB2312" w:eastAsia="仿宋_GB2312" w:cs="仿宋_GB2312"/>
          <w:sz w:val="32"/>
          <w:szCs w:val="32"/>
          <w:u w:val="none"/>
          <w:lang w:eastAsia="zh-CN"/>
        </w:rPr>
        <w:t>政务服务平台的一体化建设</w:t>
      </w:r>
      <w:r>
        <w:rPr>
          <w:rFonts w:hint="eastAsia" w:ascii="仿宋_GB2312" w:hAnsi="仿宋_GB2312" w:eastAsia="仿宋_GB2312" w:cs="仿宋_GB2312"/>
          <w:sz w:val="32"/>
          <w:szCs w:val="32"/>
          <w:u w:val="none"/>
          <w:lang w:eastAsia="zh-CN"/>
        </w:rPr>
        <w:t>；</w:t>
      </w:r>
      <w:r>
        <w:rPr>
          <w:rFonts w:hint="default" w:ascii="仿宋_GB2312" w:hAnsi="仿宋_GB2312" w:eastAsia="仿宋_GB2312" w:cs="仿宋_GB2312"/>
          <w:sz w:val="32"/>
          <w:szCs w:val="32"/>
          <w:u w:val="none"/>
          <w:lang w:eastAsia="zh-CN"/>
        </w:rPr>
        <w:t>按照省有关规定，推动市级政务服务平台与省级政务服务平台的对接，实行跨地区、跨部门、跨层级政务数据共享和业务协同</w:t>
      </w:r>
      <w:r>
        <w:rPr>
          <w:rFonts w:hint="eastAsia" w:ascii="仿宋_GB2312" w:hAnsi="仿宋_GB2312" w:eastAsia="仿宋_GB2312" w:cs="仿宋_GB2312"/>
          <w:sz w:val="32"/>
          <w:szCs w:val="32"/>
          <w:u w:val="none"/>
          <w:lang w:eastAsia="zh-CN"/>
        </w:rPr>
        <w:t>；</w:t>
      </w:r>
      <w:r>
        <w:rPr>
          <w:rFonts w:hint="default" w:ascii="仿宋_GB2312" w:hAnsi="仿宋_GB2312" w:eastAsia="仿宋_GB2312" w:cs="仿宋_GB2312"/>
          <w:sz w:val="32"/>
          <w:szCs w:val="32"/>
          <w:u w:val="none"/>
          <w:lang w:eastAsia="zh-CN"/>
        </w:rPr>
        <w:t>推动互联网端、移动终端、自助终端的等智能化办事渠道</w:t>
      </w:r>
      <w:r>
        <w:rPr>
          <w:rFonts w:hint="eastAsia" w:ascii="仿宋_GB2312" w:hAnsi="仿宋_GB2312" w:eastAsia="仿宋_GB2312" w:cs="仿宋_GB2312"/>
          <w:sz w:val="32"/>
          <w:szCs w:val="32"/>
          <w:u w:val="none"/>
          <w:lang w:eastAsia="zh-CN"/>
        </w:rPr>
        <w:t>，</w:t>
      </w:r>
      <w:r>
        <w:rPr>
          <w:rFonts w:hint="default" w:ascii="仿宋_GB2312" w:hAnsi="仿宋_GB2312" w:eastAsia="仿宋_GB2312" w:cs="仿宋_GB2312"/>
          <w:sz w:val="32"/>
          <w:szCs w:val="32"/>
          <w:u w:val="none"/>
          <w:lang w:eastAsia="zh-CN"/>
        </w:rPr>
        <w:t>实现政务服务事项一网通办。</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640" w:firstLineChars="200"/>
        <w:textAlignment w:val="auto"/>
        <w:rPr>
          <w:rFonts w:hint="default"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lang w:val="en-US" w:eastAsia="zh-CN"/>
        </w:rPr>
        <w:t>第</w:t>
      </w:r>
      <w:r>
        <w:rPr>
          <w:rFonts w:hint="default" w:ascii="仿宋_GB2312" w:hAnsi="仿宋_GB2312" w:eastAsia="仿宋_GB2312" w:cs="仿宋_GB2312"/>
          <w:sz w:val="32"/>
          <w:szCs w:val="32"/>
          <w:u w:val="none"/>
          <w:lang w:eastAsia="zh-CN"/>
        </w:rPr>
        <w:t>三十</w:t>
      </w:r>
      <w:r>
        <w:rPr>
          <w:rFonts w:hint="eastAsia" w:ascii="仿宋_GB2312" w:hAnsi="仿宋_GB2312" w:eastAsia="仿宋_GB2312" w:cs="仿宋_GB2312"/>
          <w:sz w:val="32"/>
          <w:szCs w:val="32"/>
          <w:u w:val="none"/>
          <w:lang w:val="en-US" w:eastAsia="zh-CN"/>
        </w:rPr>
        <w:t>六条 市、县（市、区）人民政府及有</w:t>
      </w:r>
      <w:r>
        <w:rPr>
          <w:rFonts w:hint="default" w:ascii="仿宋_GB2312" w:hAnsi="仿宋_GB2312" w:eastAsia="仿宋_GB2312" w:cs="仿宋_GB2312"/>
          <w:sz w:val="32"/>
          <w:szCs w:val="32"/>
          <w:u w:val="none"/>
          <w:lang w:eastAsia="zh-CN"/>
        </w:rPr>
        <w:t>关部门应当建立政务信息资源归集、共享、交换和应用机制，促进和规范公共数据的共享、开放和利用。有关部门应当确保共享获得的政务数据安全，防止数据泄漏，不得用于与履行职责无关的活动，不得随意更改和编造。</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157" w:beforeLines="50" w:beforeAutospacing="0" w:after="157" w:afterLines="50" w:afterAutospacing="0" w:line="360" w:lineRule="auto"/>
        <w:ind w:left="0" w:right="0" w:firstLine="640" w:firstLineChars="200"/>
        <w:jc w:val="both"/>
        <w:textAlignment w:val="auto"/>
        <w:rPr>
          <w:rFonts w:hint="default" w:ascii="仿宋_GB2312" w:hAnsi="仿宋_GB2312" w:eastAsia="仿宋_GB2312" w:cs="仿宋_GB2312"/>
          <w:sz w:val="32"/>
          <w:szCs w:val="32"/>
          <w:u w:val="none"/>
          <w:lang w:eastAsia="zh-CN"/>
        </w:rPr>
      </w:pPr>
      <w:r>
        <w:rPr>
          <w:rFonts w:hint="default" w:ascii="仿宋_GB2312" w:hAnsi="仿宋_GB2312" w:eastAsia="仿宋_GB2312" w:cs="仿宋_GB2312"/>
          <w:sz w:val="32"/>
          <w:szCs w:val="32"/>
          <w:u w:val="none"/>
          <w:lang w:eastAsia="zh-CN"/>
        </w:rPr>
        <w:t>第三十</w:t>
      </w:r>
      <w:r>
        <w:rPr>
          <w:rFonts w:hint="eastAsia" w:ascii="仿宋_GB2312" w:hAnsi="仿宋_GB2312" w:eastAsia="仿宋_GB2312" w:cs="仿宋_GB2312"/>
          <w:sz w:val="32"/>
          <w:szCs w:val="32"/>
          <w:u w:val="none"/>
          <w:lang w:val="en-US" w:eastAsia="zh-CN"/>
        </w:rPr>
        <w:t>七</w:t>
      </w:r>
      <w:r>
        <w:rPr>
          <w:rFonts w:hint="default" w:ascii="仿宋_GB2312" w:hAnsi="仿宋_GB2312" w:eastAsia="仿宋_GB2312" w:cs="仿宋_GB2312"/>
          <w:sz w:val="32"/>
          <w:szCs w:val="32"/>
          <w:u w:val="none"/>
          <w:lang w:eastAsia="zh-CN"/>
        </w:rPr>
        <w:t xml:space="preserve">条 </w:t>
      </w:r>
      <w:r>
        <w:rPr>
          <w:rFonts w:hint="eastAsia" w:ascii="仿宋_GB2312" w:hAnsi="仿宋_GB2312" w:eastAsia="仿宋_GB2312" w:cs="仿宋_GB2312"/>
          <w:sz w:val="32"/>
          <w:szCs w:val="32"/>
          <w:u w:val="none"/>
          <w:lang w:val="en-US" w:eastAsia="zh-CN"/>
        </w:rPr>
        <w:t>市、县（市、区）人民政府</w:t>
      </w:r>
      <w:r>
        <w:rPr>
          <w:rFonts w:hint="default" w:ascii="仿宋_GB2312" w:hAnsi="仿宋_GB2312" w:eastAsia="仿宋_GB2312" w:cs="仿宋_GB2312"/>
          <w:sz w:val="32"/>
          <w:szCs w:val="32"/>
          <w:u w:val="none"/>
          <w:lang w:eastAsia="zh-CN"/>
        </w:rPr>
        <w:t>及有关部门应当加强电子印章、电子证照和电子档案在政务服务中的互认共享和推广应用，能够通过在线政务服务平台提取、生成或者信息共享的材料，不得要求重复提供，可以通过电子证照库获得业务办理所需电子证照的，不得拒绝办理或者要求申请人提供纸质证照，但依法需要收回证照原件的除外。</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640" w:firstLineChars="200"/>
        <w:textAlignment w:val="auto"/>
        <w:rPr>
          <w:rFonts w:hint="default"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lang w:val="en-US" w:eastAsia="zh-CN"/>
        </w:rPr>
        <w:t>第</w:t>
      </w:r>
      <w:r>
        <w:rPr>
          <w:rFonts w:hint="default" w:ascii="仿宋_GB2312" w:hAnsi="仿宋_GB2312" w:eastAsia="仿宋_GB2312" w:cs="仿宋_GB2312"/>
          <w:sz w:val="32"/>
          <w:szCs w:val="32"/>
          <w:u w:val="none"/>
          <w:lang w:eastAsia="zh-CN"/>
        </w:rPr>
        <w:t>三十</w:t>
      </w:r>
      <w:r>
        <w:rPr>
          <w:rFonts w:hint="eastAsia" w:ascii="仿宋_GB2312" w:hAnsi="仿宋_GB2312" w:eastAsia="仿宋_GB2312" w:cs="仿宋_GB2312"/>
          <w:sz w:val="32"/>
          <w:szCs w:val="32"/>
          <w:u w:val="none"/>
          <w:lang w:val="en-US" w:eastAsia="zh-CN"/>
        </w:rPr>
        <w:t xml:space="preserve">八条 </w:t>
      </w:r>
      <w:r>
        <w:rPr>
          <w:rFonts w:hint="default" w:ascii="仿宋_GB2312" w:hAnsi="仿宋_GB2312" w:eastAsia="仿宋_GB2312" w:cs="仿宋_GB2312"/>
          <w:sz w:val="32"/>
          <w:szCs w:val="32"/>
          <w:u w:val="none"/>
          <w:lang w:eastAsia="zh-CN"/>
        </w:rPr>
        <w:t>政务服务大厅设置政务公开专区用于提供政务信息公开、查询、复制、咨询等服务，</w:t>
      </w:r>
      <w:r>
        <w:rPr>
          <w:rFonts w:hint="eastAsia" w:ascii="仿宋_GB2312" w:hAnsi="仿宋_GB2312" w:eastAsia="仿宋_GB2312" w:cs="仿宋_GB2312"/>
          <w:sz w:val="32"/>
          <w:szCs w:val="32"/>
          <w:u w:val="none"/>
          <w:lang w:val="en-US" w:eastAsia="zh-CN"/>
        </w:rPr>
        <w:t>市、县（市、区）人民政府及</w:t>
      </w:r>
      <w:r>
        <w:rPr>
          <w:rFonts w:hint="default" w:ascii="仿宋_GB2312" w:hAnsi="仿宋_GB2312" w:eastAsia="仿宋_GB2312" w:cs="仿宋_GB2312"/>
          <w:sz w:val="32"/>
          <w:szCs w:val="32"/>
          <w:u w:val="none"/>
          <w:lang w:eastAsia="zh-CN"/>
        </w:rPr>
        <w:t>有关部门应当依法提供免费查询服务，并配备服务终端机等自助设备方便申请人自助办理。</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640" w:firstLineChars="200"/>
        <w:textAlignment w:val="auto"/>
        <w:rPr>
          <w:rFonts w:hint="default" w:ascii="仿宋_GB2312" w:hAnsi="仿宋_GB2312" w:eastAsia="仿宋_GB2312" w:cs="仿宋_GB2312"/>
          <w:sz w:val="32"/>
          <w:szCs w:val="32"/>
          <w:u w:val="none"/>
          <w:lang w:eastAsia="zh-CN"/>
        </w:rPr>
      </w:pPr>
      <w:r>
        <w:rPr>
          <w:rFonts w:hint="default" w:ascii="仿宋_GB2312" w:hAnsi="仿宋_GB2312" w:eastAsia="仿宋_GB2312" w:cs="仿宋_GB2312"/>
          <w:sz w:val="32"/>
          <w:szCs w:val="32"/>
          <w:u w:val="none"/>
          <w:lang w:eastAsia="zh-CN"/>
        </w:rPr>
        <w:t>第</w:t>
      </w:r>
      <w:r>
        <w:rPr>
          <w:rFonts w:hint="eastAsia" w:ascii="仿宋_GB2312" w:hAnsi="仿宋_GB2312" w:eastAsia="仿宋_GB2312" w:cs="仿宋_GB2312"/>
          <w:sz w:val="32"/>
          <w:szCs w:val="32"/>
          <w:u w:val="none"/>
          <w:lang w:val="en-US" w:eastAsia="zh-CN"/>
        </w:rPr>
        <w:t>三十九</w:t>
      </w:r>
      <w:r>
        <w:rPr>
          <w:rFonts w:hint="default" w:ascii="仿宋_GB2312" w:hAnsi="仿宋_GB2312" w:eastAsia="仿宋_GB2312" w:cs="仿宋_GB2312"/>
          <w:sz w:val="32"/>
          <w:szCs w:val="32"/>
          <w:u w:val="none"/>
          <w:lang w:eastAsia="zh-CN"/>
        </w:rPr>
        <w:t xml:space="preserve">条 </w:t>
      </w:r>
      <w:r>
        <w:rPr>
          <w:rFonts w:hint="eastAsia" w:ascii="仿宋_GB2312" w:hAnsi="仿宋_GB2312" w:eastAsia="仿宋_GB2312" w:cs="仿宋_GB2312"/>
          <w:sz w:val="32"/>
          <w:szCs w:val="32"/>
          <w:u w:val="none"/>
          <w:lang w:val="en-US" w:eastAsia="zh-CN"/>
        </w:rPr>
        <w:t>市、县（市、区）人民政府</w:t>
      </w:r>
      <w:r>
        <w:rPr>
          <w:rFonts w:hint="default" w:ascii="仿宋_GB2312" w:hAnsi="仿宋_GB2312" w:eastAsia="仿宋_GB2312" w:cs="仿宋_GB2312"/>
          <w:sz w:val="32"/>
          <w:szCs w:val="32"/>
          <w:u w:val="none"/>
          <w:lang w:eastAsia="zh-CN"/>
        </w:rPr>
        <w:t>及有关部门应当通过门户网站、政务服务一体化在线平台，及时集中公布涉及市场主体的法律、法规、规章、行政规范性文件和各类政策措施，并通过多种途径和方式加强宣传解读。</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640" w:firstLineChars="200"/>
        <w:textAlignment w:val="auto"/>
        <w:rPr>
          <w:rFonts w:hint="default"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lang w:val="en-US" w:eastAsia="zh-CN"/>
        </w:rPr>
        <w:t>第</w:t>
      </w:r>
      <w:r>
        <w:rPr>
          <w:rFonts w:hint="default" w:ascii="仿宋_GB2312" w:hAnsi="仿宋_GB2312" w:eastAsia="仿宋_GB2312" w:cs="仿宋_GB2312"/>
          <w:sz w:val="32"/>
          <w:szCs w:val="32"/>
          <w:u w:val="none"/>
          <w:lang w:eastAsia="zh-CN"/>
        </w:rPr>
        <w:t>四十</w:t>
      </w:r>
      <w:r>
        <w:rPr>
          <w:rFonts w:hint="eastAsia" w:ascii="仿宋_GB2312" w:hAnsi="仿宋_GB2312" w:eastAsia="仿宋_GB2312" w:cs="仿宋_GB2312"/>
          <w:sz w:val="32"/>
          <w:szCs w:val="32"/>
          <w:u w:val="none"/>
          <w:lang w:val="en-US" w:eastAsia="zh-CN"/>
        </w:rPr>
        <w:t>条 市、县（市、区）人民政府</w:t>
      </w:r>
      <w:r>
        <w:rPr>
          <w:rFonts w:hint="default" w:ascii="仿宋_GB2312" w:hAnsi="仿宋_GB2312" w:eastAsia="仿宋_GB2312" w:cs="仿宋_GB2312"/>
          <w:sz w:val="32"/>
          <w:szCs w:val="32"/>
          <w:u w:val="none"/>
          <w:lang w:eastAsia="zh-CN"/>
        </w:rPr>
        <w:t>应当按照国家有关规定，推进投资审批制度改革，根据项目性质、投资规模等分类规范投资审批程序，精简审批要件，简化技术审查事项，强化项目决策与用地、规划等建设条件落实的协同，实行与相关审批在线并联办理。</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640" w:firstLineChars="200"/>
        <w:textAlignment w:val="auto"/>
        <w:rPr>
          <w:rFonts w:hint="default" w:ascii="仿宋_GB2312" w:hAnsi="仿宋_GB2312" w:eastAsia="仿宋_GB2312" w:cs="仿宋_GB2312"/>
          <w:sz w:val="32"/>
          <w:szCs w:val="32"/>
          <w:u w:val="none"/>
          <w:lang w:eastAsia="zh-CN"/>
        </w:rPr>
      </w:pPr>
      <w:r>
        <w:rPr>
          <w:rFonts w:hint="default" w:ascii="仿宋_GB2312" w:hAnsi="仿宋_GB2312" w:eastAsia="仿宋_GB2312" w:cs="仿宋_GB2312"/>
          <w:sz w:val="32"/>
          <w:szCs w:val="32"/>
          <w:u w:val="none"/>
          <w:lang w:eastAsia="zh-CN"/>
        </w:rPr>
        <w:t>优化投资项目前期审批流程，对投资项目的可行性报告、各项评价指标及评估事项，有项目单位编报一套材料，行政部门统一受理、同步评估、同步审批、统一反馈，促进项目的快速实施。</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640" w:firstLineChars="200"/>
        <w:textAlignment w:val="auto"/>
        <w:rPr>
          <w:rFonts w:hint="default"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lang w:val="en-US" w:eastAsia="zh-CN"/>
        </w:rPr>
        <w:t>第</w:t>
      </w:r>
      <w:r>
        <w:rPr>
          <w:rFonts w:hint="default" w:ascii="仿宋_GB2312" w:hAnsi="仿宋_GB2312" w:eastAsia="仿宋_GB2312" w:cs="仿宋_GB2312"/>
          <w:sz w:val="32"/>
          <w:szCs w:val="32"/>
          <w:u w:val="none"/>
          <w:lang w:eastAsia="zh-CN"/>
        </w:rPr>
        <w:t>四十</w:t>
      </w:r>
      <w:r>
        <w:rPr>
          <w:rFonts w:hint="eastAsia" w:ascii="仿宋_GB2312" w:hAnsi="仿宋_GB2312" w:eastAsia="仿宋_GB2312" w:cs="仿宋_GB2312"/>
          <w:sz w:val="32"/>
          <w:szCs w:val="32"/>
          <w:u w:val="none"/>
          <w:lang w:val="en-US" w:eastAsia="zh-CN"/>
        </w:rPr>
        <w:t xml:space="preserve">一条 </w:t>
      </w:r>
      <w:r>
        <w:rPr>
          <w:rFonts w:hint="default" w:ascii="仿宋_GB2312" w:hAnsi="仿宋_GB2312" w:eastAsia="仿宋_GB2312" w:cs="仿宋_GB2312"/>
          <w:color w:val="auto"/>
          <w:sz w:val="32"/>
          <w:szCs w:val="32"/>
          <w:u w:val="none"/>
          <w:lang w:eastAsia="zh-CN"/>
        </w:rPr>
        <w:t>行政机关</w:t>
      </w:r>
      <w:r>
        <w:rPr>
          <w:rFonts w:hint="default" w:ascii="仿宋_GB2312" w:hAnsi="仿宋_GB2312" w:eastAsia="仿宋_GB2312" w:cs="仿宋_GB2312"/>
          <w:sz w:val="32"/>
          <w:szCs w:val="32"/>
          <w:u w:val="none"/>
          <w:lang w:eastAsia="zh-CN"/>
        </w:rPr>
        <w:t>应统一优化工程建设项目审批流程，精简工程建设项目审批手续，通过关联部门协同审批、整合实施、多测合一、区域化评估、联合验收、下放审批层级等多种方式，优化审批服务，提高审批效率，减轻市场主体负担。</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640" w:firstLineChars="200"/>
        <w:textAlignment w:val="auto"/>
        <w:rPr>
          <w:rFonts w:hint="eastAsia" w:ascii="仿宋_GB2312" w:hAnsi="仿宋_GB2312" w:eastAsia="仿宋_GB2312" w:cs="仿宋_GB2312"/>
          <w:sz w:val="32"/>
          <w:szCs w:val="32"/>
          <w:u w:val="none"/>
          <w:lang w:val="en-US" w:eastAsia="zh-CN"/>
        </w:rPr>
      </w:pPr>
      <w:r>
        <w:rPr>
          <w:rFonts w:hint="default" w:ascii="仿宋_GB2312" w:hAnsi="仿宋_GB2312" w:eastAsia="仿宋_GB2312" w:cs="仿宋_GB2312"/>
          <w:sz w:val="32"/>
          <w:szCs w:val="32"/>
          <w:u w:val="none"/>
          <w:lang w:eastAsia="zh-CN"/>
        </w:rPr>
        <w:t>对符合相关条件要求的，可以按照有关规定采取告知承诺的方式办理，具体事项由行政审批部门会同有关主管部门制定并向社会公布。</w:t>
      </w:r>
      <w:r>
        <w:rPr>
          <w:rFonts w:hint="eastAsia" w:ascii="仿宋_GB2312" w:hAnsi="仿宋_GB2312" w:eastAsia="仿宋_GB2312" w:cs="仿宋_GB2312"/>
          <w:sz w:val="32"/>
          <w:szCs w:val="32"/>
          <w:u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640" w:firstLineChars="200"/>
        <w:textAlignment w:val="auto"/>
        <w:rPr>
          <w:rFonts w:hint="default"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lang w:val="en-US" w:eastAsia="zh-CN"/>
        </w:rPr>
        <w:t>第</w:t>
      </w:r>
      <w:r>
        <w:rPr>
          <w:rFonts w:hint="default" w:ascii="仿宋_GB2312" w:hAnsi="仿宋_GB2312" w:eastAsia="仿宋_GB2312" w:cs="仿宋_GB2312"/>
          <w:sz w:val="32"/>
          <w:szCs w:val="32"/>
          <w:u w:val="none"/>
          <w:lang w:eastAsia="zh-CN"/>
        </w:rPr>
        <w:t>四十</w:t>
      </w:r>
      <w:r>
        <w:rPr>
          <w:rFonts w:hint="eastAsia" w:ascii="仿宋_GB2312" w:hAnsi="仿宋_GB2312" w:eastAsia="仿宋_GB2312" w:cs="仿宋_GB2312"/>
          <w:sz w:val="32"/>
          <w:szCs w:val="32"/>
          <w:u w:val="none"/>
          <w:lang w:val="en-US" w:eastAsia="zh-CN"/>
        </w:rPr>
        <w:t xml:space="preserve">二条 </w:t>
      </w:r>
      <w:r>
        <w:rPr>
          <w:rFonts w:hint="default" w:ascii="仿宋_GB2312" w:hAnsi="仿宋_GB2312" w:eastAsia="仿宋_GB2312" w:cs="仿宋_GB2312"/>
          <w:sz w:val="32"/>
          <w:szCs w:val="32"/>
          <w:u w:val="none"/>
          <w:lang w:eastAsia="zh-CN"/>
        </w:rPr>
        <w:t>税务机关应当为市场主体提供便捷的办税缴费条件，优化办税缴费流程，精简办税资料，依法推进相关税费综合申报，压减纳税缴费次数和时间；积极开展线上、移动、邮寄、自助等服务方式，并推广使用电子发票和全程网上办税，最大化减轻办税缴费负担。</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640" w:firstLineChars="200"/>
        <w:textAlignment w:val="auto"/>
        <w:rPr>
          <w:rFonts w:hint="default" w:ascii="仿宋_GB2312" w:hAnsi="仿宋_GB2312" w:eastAsia="仿宋_GB2312" w:cs="仿宋_GB2312"/>
          <w:sz w:val="32"/>
          <w:szCs w:val="32"/>
          <w:u w:val="none"/>
          <w:lang w:eastAsia="zh-CN"/>
        </w:rPr>
      </w:pPr>
      <w:r>
        <w:rPr>
          <w:rFonts w:hint="default" w:ascii="仿宋_GB2312" w:hAnsi="仿宋_GB2312" w:eastAsia="仿宋_GB2312" w:cs="仿宋_GB2312"/>
          <w:sz w:val="32"/>
          <w:szCs w:val="32"/>
          <w:u w:val="none"/>
          <w:lang w:eastAsia="zh-CN"/>
        </w:rPr>
        <w:t>税务机关应当严格执行税收法律、法规，落实国家规定的优惠政策，保障市场主体依法享受减税、免税、出口退税等有关税收优惠，降低企业税收负担。</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640" w:firstLineChars="200"/>
        <w:textAlignment w:val="auto"/>
        <w:rPr>
          <w:rFonts w:hint="default"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lang w:val="en-US" w:eastAsia="zh-CN"/>
        </w:rPr>
        <w:t>第</w:t>
      </w:r>
      <w:r>
        <w:rPr>
          <w:rFonts w:hint="default" w:ascii="仿宋_GB2312" w:hAnsi="仿宋_GB2312" w:eastAsia="仿宋_GB2312" w:cs="仿宋_GB2312"/>
          <w:sz w:val="32"/>
          <w:szCs w:val="32"/>
          <w:u w:val="none"/>
          <w:lang w:eastAsia="zh-CN"/>
        </w:rPr>
        <w:t>四十</w:t>
      </w:r>
      <w:r>
        <w:rPr>
          <w:rFonts w:hint="eastAsia" w:ascii="仿宋_GB2312" w:hAnsi="仿宋_GB2312" w:eastAsia="仿宋_GB2312" w:cs="仿宋_GB2312"/>
          <w:sz w:val="32"/>
          <w:szCs w:val="32"/>
          <w:u w:val="none"/>
          <w:lang w:val="en-US" w:eastAsia="zh-CN"/>
        </w:rPr>
        <w:t xml:space="preserve">三条 </w:t>
      </w:r>
      <w:r>
        <w:rPr>
          <w:rFonts w:hint="default" w:ascii="仿宋_GB2312" w:hAnsi="仿宋_GB2312" w:eastAsia="仿宋_GB2312" w:cs="仿宋_GB2312"/>
          <w:sz w:val="32"/>
          <w:szCs w:val="32"/>
          <w:u w:val="none"/>
          <w:lang w:eastAsia="zh-CN"/>
        </w:rPr>
        <w:t>不动产登记机构应持续优化窗口服务，统一收取不动产登记、房屋交易、税收申报所需全部材料，实现不动产登记、交易和缴税一窗受理、并行办理，在国家规定的不动产登记时限内，进一步压缩办理时间。</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640" w:firstLineChars="200"/>
        <w:textAlignment w:val="auto"/>
        <w:rPr>
          <w:rFonts w:hint="default" w:ascii="仿宋_GB2312" w:hAnsi="仿宋_GB2312" w:eastAsia="仿宋_GB2312" w:cs="仿宋_GB2312"/>
          <w:sz w:val="32"/>
          <w:szCs w:val="32"/>
          <w:u w:val="none"/>
          <w:lang w:eastAsia="zh-CN"/>
        </w:rPr>
      </w:pPr>
      <w:r>
        <w:rPr>
          <w:rFonts w:hint="default" w:ascii="仿宋_GB2312" w:hAnsi="仿宋_GB2312" w:eastAsia="仿宋_GB2312" w:cs="仿宋_GB2312"/>
          <w:sz w:val="32"/>
          <w:szCs w:val="32"/>
          <w:u w:val="none"/>
          <w:lang w:eastAsia="zh-CN"/>
        </w:rPr>
        <w:t>不动产登记机构应当推进网上登记服务，与有关部门加强业务协同、数据共享，推动交易、纳税、登记全流程网上办理。</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640" w:firstLineChars="200"/>
        <w:textAlignment w:val="auto"/>
        <w:rPr>
          <w:rFonts w:hint="default"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lang w:val="en-US" w:eastAsia="zh-CN"/>
        </w:rPr>
        <w:t>第</w:t>
      </w:r>
      <w:r>
        <w:rPr>
          <w:rFonts w:hint="default" w:ascii="仿宋_GB2312" w:hAnsi="仿宋_GB2312" w:eastAsia="仿宋_GB2312" w:cs="仿宋_GB2312"/>
          <w:sz w:val="32"/>
          <w:szCs w:val="32"/>
          <w:u w:val="none"/>
          <w:lang w:eastAsia="zh-CN"/>
        </w:rPr>
        <w:t>四十</w:t>
      </w:r>
      <w:r>
        <w:rPr>
          <w:rFonts w:hint="eastAsia" w:ascii="仿宋_GB2312" w:hAnsi="仿宋_GB2312" w:eastAsia="仿宋_GB2312" w:cs="仿宋_GB2312"/>
          <w:sz w:val="32"/>
          <w:szCs w:val="32"/>
          <w:u w:val="none"/>
          <w:lang w:val="en-US" w:eastAsia="zh-CN"/>
        </w:rPr>
        <w:t>四条 市、县（市、区）人民政府及</w:t>
      </w:r>
      <w:r>
        <w:rPr>
          <w:rFonts w:hint="default" w:ascii="仿宋_GB2312" w:hAnsi="仿宋_GB2312" w:eastAsia="仿宋_GB2312" w:cs="仿宋_GB2312"/>
          <w:sz w:val="32"/>
          <w:szCs w:val="32"/>
          <w:u w:val="none"/>
          <w:lang w:eastAsia="zh-CN"/>
        </w:rPr>
        <w:t>有关部门应当建立畅通有效的政企沟通机制，构建多种类的信息交流平台，及时听取市场主体的反映和诉求；应当充分尊重市场主体意愿，不得以搭建信息交流平台为理由，干扰市场主体的正常生产经营活动、增加市场主体负担。</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0"/>
        <w:rPr>
          <w:rFonts w:hint="eastAsia" w:ascii="黑体" w:hAnsi="黑体" w:eastAsia="黑体" w:cs="黑体"/>
          <w:sz w:val="36"/>
          <w:szCs w:val="36"/>
          <w:u w:val="none"/>
          <w:lang w:val="en-US" w:eastAsia="zh-CN"/>
        </w:rPr>
      </w:pPr>
      <w:bookmarkStart w:id="4" w:name="_Toc6832"/>
      <w:r>
        <w:rPr>
          <w:rFonts w:hint="eastAsia" w:ascii="黑体" w:hAnsi="黑体" w:eastAsia="黑体" w:cs="黑体"/>
          <w:sz w:val="36"/>
          <w:szCs w:val="36"/>
          <w:u w:val="none"/>
          <w:lang w:val="en-US" w:eastAsia="zh-CN"/>
        </w:rPr>
        <w:t>第五章 法治环境</w:t>
      </w:r>
      <w:bookmarkEnd w:id="4"/>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第</w:t>
      </w:r>
      <w:r>
        <w:rPr>
          <w:rFonts w:hint="default" w:ascii="仿宋_GB2312" w:hAnsi="仿宋_GB2312" w:eastAsia="仿宋_GB2312" w:cs="仿宋_GB2312"/>
          <w:sz w:val="32"/>
          <w:szCs w:val="32"/>
          <w:u w:val="none"/>
          <w:lang w:eastAsia="zh-CN"/>
        </w:rPr>
        <w:t>四十</w:t>
      </w:r>
      <w:r>
        <w:rPr>
          <w:rFonts w:hint="eastAsia" w:ascii="仿宋_GB2312" w:hAnsi="仿宋_GB2312" w:eastAsia="仿宋_GB2312" w:cs="仿宋_GB2312"/>
          <w:sz w:val="32"/>
          <w:szCs w:val="32"/>
          <w:u w:val="none"/>
          <w:lang w:val="en-US" w:eastAsia="zh-CN"/>
        </w:rPr>
        <w:t>五条 市、县（市、区）人民政府及有关部门应当根据优化营商环境工作需要，依照法定权限和程序及时制定、修改、废止有关政府规章、行政规范性文件。</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制定与市场主体生产经营活动密切相关的地方性法规、政府规章和规范性文件，应当采取实地调研、座谈会、论证会、听证会等形式，公开征求、合理采纳市场主体及行业协会、商会的意见和建议，并按照国家和省有关规定实行公平竞争审查制度，评估对市场竞争的影响，防止排除、限制市场竞争。</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市场主体认为政府规章、规范性文件与法律、法规相抵触的，可以向制定机关或者备案审查机构提出建议审查申请。</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第</w:t>
      </w:r>
      <w:r>
        <w:rPr>
          <w:rFonts w:hint="default" w:ascii="仿宋_GB2312" w:hAnsi="仿宋_GB2312" w:eastAsia="仿宋_GB2312" w:cs="仿宋_GB2312"/>
          <w:sz w:val="32"/>
          <w:szCs w:val="32"/>
          <w:u w:val="none"/>
          <w:lang w:eastAsia="zh-CN"/>
        </w:rPr>
        <w:t>四十</w:t>
      </w:r>
      <w:r>
        <w:rPr>
          <w:rFonts w:hint="eastAsia" w:ascii="仿宋_GB2312" w:hAnsi="仿宋_GB2312" w:eastAsia="仿宋_GB2312" w:cs="仿宋_GB2312"/>
          <w:sz w:val="32"/>
          <w:szCs w:val="32"/>
          <w:u w:val="none"/>
          <w:lang w:val="en-US" w:eastAsia="zh-CN"/>
        </w:rPr>
        <w:t>六条 市、县（市、区）人民政府有关部门应当按照职责依法落实监管责任，严格执行监管规则和标准，实现对市场主体监管全覆盖。</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市场监管领域应当实行“双随机、一公开”监管，对直接涉及公共安全和人民群众生命健康等特殊行业、重点领域，应当依法依规开展全覆盖重点监管。</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640" w:firstLineChars="200"/>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最大限度减少不必要的行政执法事项。除法律、法规、规章另有规定外，同一部门对市场主体实施的多项检查，应当合并进行；多个部门对同一市场主体进行检查的，由同级司法行政部门协调，明确由一个部门组织实施联合检查。实施行政执法检查，不得妨碍市场主体正常的生产经营活动。</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第</w:t>
      </w:r>
      <w:r>
        <w:rPr>
          <w:rFonts w:hint="default" w:ascii="仿宋_GB2312" w:hAnsi="仿宋_GB2312" w:eastAsia="仿宋_GB2312" w:cs="仿宋_GB2312"/>
          <w:sz w:val="32"/>
          <w:szCs w:val="32"/>
          <w:u w:val="none"/>
          <w:lang w:eastAsia="zh-CN"/>
        </w:rPr>
        <w:t>四十</w:t>
      </w:r>
      <w:r>
        <w:rPr>
          <w:rFonts w:hint="eastAsia" w:ascii="仿宋_GB2312" w:hAnsi="仿宋_GB2312" w:eastAsia="仿宋_GB2312" w:cs="仿宋_GB2312"/>
          <w:sz w:val="32"/>
          <w:szCs w:val="32"/>
          <w:u w:val="none"/>
          <w:lang w:val="en-US" w:eastAsia="zh-CN"/>
        </w:rPr>
        <w:t>七条 市、县（市、区）人民政府及有关部门应当按照国家规定建立健全以守信激励、失信惩戒为基础的信用监管机制，推广应用国家企业信用信息公示系统和信用信息共享平台，加强信用信息归集、披露、使用和管理，构建覆盖市场主体全生命周期的闭环信用监管体系。</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第</w:t>
      </w:r>
      <w:r>
        <w:rPr>
          <w:rFonts w:hint="default" w:ascii="仿宋_GB2312" w:hAnsi="仿宋_GB2312" w:eastAsia="仿宋_GB2312" w:cs="仿宋_GB2312"/>
          <w:sz w:val="32"/>
          <w:szCs w:val="32"/>
          <w:u w:val="none"/>
          <w:lang w:eastAsia="zh-CN"/>
        </w:rPr>
        <w:t>四十</w:t>
      </w:r>
      <w:r>
        <w:rPr>
          <w:rFonts w:hint="eastAsia" w:ascii="仿宋_GB2312" w:hAnsi="仿宋_GB2312" w:eastAsia="仿宋_GB2312" w:cs="仿宋_GB2312"/>
          <w:sz w:val="32"/>
          <w:szCs w:val="32"/>
          <w:u w:val="none"/>
          <w:lang w:val="en-US" w:eastAsia="zh-CN"/>
        </w:rPr>
        <w:t>八条 行政执法机关应当在广泛收集市场主体意见的基础上编制监管事项清单，明确监管主体、对象、内容、方式和处置责任等事项，实行清单动态调整并向社会公布，实现监管全覆盖。</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市、县（市、区）人民政府及有关部门应当根据不同领域特点和风险等级采取差异化分类监管措施。对直接涉及公共安全和人民群众生命健康等特殊行业、重点领域，依法依规实施全覆盖、全过程重点监管；其他行业、领域实施“双随机、一公开”监管；对新技术、新产业、新业态、新模式等实施包容审慎监管，针对其性质、特点分类制定和实施相应的监管规则和措施，引导其健康规范发展。</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第四十九条 本市实行行政执法公示制度、行政执法全过程记录制度和重大执法决定法制审核制度</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行政执法机关应当将执法职责、依据、程序及结果等信息依法及时向社会公开;对行政执法的启动、调查取证、审核决定及送达执行等全过程通过文字和音像等形式进行记录，做到执法全过程留痕和可回溯管理;重大执法决定应当经过法制审核，未经法制审核或者审核未通过的，不得作出决定。</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第</w:t>
      </w:r>
      <w:r>
        <w:rPr>
          <w:rFonts w:hint="default" w:ascii="仿宋_GB2312" w:hAnsi="仿宋_GB2312" w:eastAsia="仿宋_GB2312" w:cs="仿宋_GB2312"/>
          <w:sz w:val="32"/>
          <w:szCs w:val="32"/>
          <w:u w:val="none"/>
          <w:lang w:eastAsia="zh-CN"/>
        </w:rPr>
        <w:t>五十</w:t>
      </w:r>
      <w:r>
        <w:rPr>
          <w:rFonts w:hint="eastAsia" w:ascii="仿宋_GB2312" w:hAnsi="仿宋_GB2312" w:eastAsia="仿宋_GB2312" w:cs="仿宋_GB2312"/>
          <w:sz w:val="32"/>
          <w:szCs w:val="32"/>
          <w:u w:val="none"/>
          <w:lang w:val="en-US" w:eastAsia="zh-CN"/>
        </w:rPr>
        <w:t>条 行政执法部门应当依法制定行政处罚裁量基准，杜绝执法随意性，规范自由裁量权行使。不得妨碍市场主体正常的生产经营活动，提高行政执法规范性和公信力。</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行政机关应当按照有关法律、法规、规章的规定，落实轻微违法行为不予行政处罚和一般违法行为减轻行政处罚事项清单。对市场主体违法情节较轻且能主动消除或者减轻危害后果的行为，应当责令改正，进行教育、告诫和引导，依法减轻、不予行政处罚。</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市场主体轻微违法行为不予行政处罚清单应当向社会公布。</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第</w:t>
      </w:r>
      <w:r>
        <w:rPr>
          <w:rFonts w:hint="default" w:ascii="仿宋_GB2312" w:hAnsi="仿宋_GB2312" w:eastAsia="仿宋_GB2312" w:cs="仿宋_GB2312"/>
          <w:sz w:val="32"/>
          <w:szCs w:val="32"/>
          <w:u w:val="none"/>
          <w:lang w:eastAsia="zh-CN"/>
        </w:rPr>
        <w:t>五十</w:t>
      </w:r>
      <w:r>
        <w:rPr>
          <w:rFonts w:hint="eastAsia" w:ascii="仿宋_GB2312" w:hAnsi="仿宋_GB2312" w:eastAsia="仿宋_GB2312" w:cs="仿宋_GB2312"/>
          <w:sz w:val="32"/>
          <w:szCs w:val="32"/>
          <w:u w:val="none"/>
          <w:lang w:val="en-US" w:eastAsia="zh-CN"/>
        </w:rPr>
        <w:t>一条 市、县（市、区）人民政府司法行政部门应当整合律师、公证、司法鉴定、调解、仲裁等公共法律服务资源，加快推进现代公共法律服务体系建设，完善多元化纠纷解决机制，建设非诉讼纠纷解决和诉讼服务体系一站式平台为市场主体提供优质、高效的法律服务。</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第</w:t>
      </w:r>
      <w:r>
        <w:rPr>
          <w:rFonts w:hint="default" w:ascii="仿宋_GB2312" w:hAnsi="仿宋_GB2312" w:eastAsia="仿宋_GB2312" w:cs="仿宋_GB2312"/>
          <w:sz w:val="32"/>
          <w:szCs w:val="32"/>
          <w:u w:val="none"/>
          <w:lang w:eastAsia="zh-CN"/>
        </w:rPr>
        <w:t>五十</w:t>
      </w:r>
      <w:r>
        <w:rPr>
          <w:rFonts w:hint="eastAsia" w:ascii="仿宋_GB2312" w:hAnsi="仿宋_GB2312" w:eastAsia="仿宋_GB2312" w:cs="仿宋_GB2312"/>
          <w:sz w:val="32"/>
          <w:szCs w:val="32"/>
          <w:u w:val="none"/>
          <w:lang w:val="en-US" w:eastAsia="zh-CN"/>
        </w:rPr>
        <w:t>二条 市、县（市、区）人民政府及有关部门应当遵循“谁执法谁普法”、“谁服务谁普法”的原则，落实普法责任制，将优化营商环境法治宣传工作纳入普法责任制考核。</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市、县（市、区）人民政府及有关部门探索创建适合市场主体的法治宣传新模式，采取以案释法、场景互动等方式开展法治宣传，提升法治宣传效能。引导市场主体合法经营、依法维护自身合法权益，不断增强全社会的法治意识，为营造法治化营商环境提供基础性支撑。</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0"/>
        <w:rPr>
          <w:rFonts w:hint="eastAsia" w:ascii="黑体" w:hAnsi="黑体" w:eastAsia="黑体" w:cs="黑体"/>
          <w:sz w:val="44"/>
          <w:szCs w:val="44"/>
          <w:u w:val="none"/>
          <w:lang w:val="en-US" w:eastAsia="zh-CN"/>
        </w:rPr>
      </w:pPr>
      <w:bookmarkStart w:id="5" w:name="_Toc29239"/>
      <w:r>
        <w:rPr>
          <w:rFonts w:hint="eastAsia" w:ascii="黑体" w:hAnsi="黑体" w:eastAsia="黑体" w:cs="黑体"/>
          <w:sz w:val="44"/>
          <w:szCs w:val="44"/>
          <w:u w:val="none"/>
          <w:lang w:val="en-US" w:eastAsia="zh-CN"/>
        </w:rPr>
        <w:t>第六章  宜居环境</w:t>
      </w:r>
      <w:bookmarkEnd w:id="5"/>
    </w:p>
    <w:p>
      <w:pPr>
        <w:keepNext w:val="0"/>
        <w:keepLines w:val="0"/>
        <w:pageBreakBefore w:val="0"/>
        <w:widowControl/>
        <w:suppressLineNumbers w:val="0"/>
        <w:kinsoku/>
        <w:wordWrap/>
        <w:overflowPunct/>
        <w:topLinePunct w:val="0"/>
        <w:autoSpaceDN/>
        <w:bidi w:val="0"/>
        <w:adjustRightInd w:val="0"/>
        <w:snapToGrid w:val="0"/>
        <w:spacing w:before="157" w:beforeLines="50" w:beforeAutospacing="0" w:after="157" w:afterLines="50" w:afterAutospacing="0" w:line="360" w:lineRule="auto"/>
        <w:ind w:left="0" w:right="0" w:firstLine="640" w:firstLineChars="200"/>
        <w:jc w:val="both"/>
        <w:textAlignment w:val="auto"/>
        <w:rPr>
          <w:rFonts w:hint="eastAsia" w:ascii="仿宋_GB2312" w:hAnsi="仿宋_GB2312" w:eastAsia="仿宋_GB2312" w:cs="仿宋_GB2312"/>
          <w:sz w:val="32"/>
          <w:szCs w:val="32"/>
          <w:lang w:val="en-US"/>
        </w:rPr>
      </w:pPr>
      <w:bookmarkStart w:id="6" w:name="_Toc4460"/>
      <w:r>
        <w:rPr>
          <w:rFonts w:hint="eastAsia" w:ascii="仿宋_GB2312" w:hAnsi="仿宋_GB2312" w:eastAsia="仿宋_GB2312" w:cs="仿宋_GB2312"/>
          <w:snapToGrid/>
          <w:kern w:val="0"/>
          <w:sz w:val="32"/>
          <w:szCs w:val="32"/>
          <w:lang w:val="en-US" w:eastAsia="zh-CN" w:bidi="ar"/>
        </w:rPr>
        <w:t>第</w:t>
      </w:r>
      <w:r>
        <w:rPr>
          <w:rFonts w:hint="eastAsia" w:ascii="仿宋_GB2312" w:hAnsi="仿宋_GB2312" w:eastAsia="仿宋_GB2312" w:cs="仿宋_GB2312"/>
          <w:snapToGrid/>
          <w:kern w:val="0"/>
          <w:sz w:val="32"/>
          <w:szCs w:val="32"/>
          <w:lang w:eastAsia="zh-CN" w:bidi="ar"/>
        </w:rPr>
        <w:t>五十</w:t>
      </w:r>
      <w:r>
        <w:rPr>
          <w:rFonts w:hint="eastAsia" w:ascii="仿宋_GB2312" w:hAnsi="仿宋_GB2312" w:eastAsia="仿宋_GB2312" w:cs="仿宋_GB2312"/>
          <w:snapToGrid/>
          <w:kern w:val="0"/>
          <w:sz w:val="32"/>
          <w:szCs w:val="32"/>
          <w:lang w:val="en-US" w:eastAsia="zh-CN" w:bidi="ar"/>
        </w:rPr>
        <w:t xml:space="preserve">三条 </w:t>
      </w:r>
      <w:r>
        <w:rPr>
          <w:rFonts w:hint="eastAsia" w:ascii="仿宋_GB2312" w:hAnsi="仿宋_GB2312" w:eastAsia="仿宋_GB2312" w:cs="仿宋_GB2312"/>
          <w:sz w:val="32"/>
          <w:szCs w:val="32"/>
          <w:u w:val="none"/>
          <w:lang w:val="en-US" w:eastAsia="zh-CN"/>
        </w:rPr>
        <w:t>市、县（市、区）人民政府</w:t>
      </w:r>
      <w:r>
        <w:rPr>
          <w:rFonts w:hint="eastAsia" w:ascii="仿宋_GB2312" w:hAnsi="仿宋_GB2312" w:eastAsia="仿宋_GB2312" w:cs="仿宋_GB2312"/>
          <w:snapToGrid/>
          <w:kern w:val="0"/>
          <w:sz w:val="32"/>
          <w:szCs w:val="32"/>
          <w:lang w:val="en-US" w:eastAsia="zh-CN" w:bidi="ar"/>
        </w:rPr>
        <w:t>应当发扬“孔孟之乡、运河之都”文化理念，有机融合“礼仪之邦”特色风貌，深化改善基础设施和市容市貌，提高社会治理水平，加强生态、人文、城市环境建设，提升区域竞争力，为市场主体投资兴业提供安全良好的宜居环境和发展环境。</w:t>
      </w:r>
    </w:p>
    <w:p>
      <w:pPr>
        <w:keepNext w:val="0"/>
        <w:keepLines w:val="0"/>
        <w:pageBreakBefore w:val="0"/>
        <w:widowControl/>
        <w:suppressLineNumbers w:val="0"/>
        <w:kinsoku/>
        <w:wordWrap/>
        <w:overflowPunct/>
        <w:topLinePunct w:val="0"/>
        <w:autoSpaceDN/>
        <w:bidi w:val="0"/>
        <w:adjustRightInd w:val="0"/>
        <w:snapToGrid w:val="0"/>
        <w:spacing w:before="157" w:beforeLines="50" w:beforeAutospacing="0" w:after="157" w:afterLines="50" w:afterAutospacing="0" w:line="360" w:lineRule="auto"/>
        <w:ind w:left="0" w:right="0" w:firstLine="640"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napToGrid/>
          <w:kern w:val="0"/>
          <w:sz w:val="32"/>
          <w:szCs w:val="32"/>
          <w:lang w:val="en-US" w:eastAsia="zh-CN" w:bidi="ar"/>
        </w:rPr>
        <w:t>第</w:t>
      </w:r>
      <w:r>
        <w:rPr>
          <w:rFonts w:hint="eastAsia" w:ascii="仿宋_GB2312" w:hAnsi="仿宋_GB2312" w:eastAsia="仿宋_GB2312" w:cs="仿宋_GB2312"/>
          <w:snapToGrid/>
          <w:kern w:val="0"/>
          <w:sz w:val="32"/>
          <w:szCs w:val="32"/>
          <w:lang w:eastAsia="zh-CN" w:bidi="ar"/>
        </w:rPr>
        <w:t>五十</w:t>
      </w:r>
      <w:r>
        <w:rPr>
          <w:rFonts w:hint="eastAsia" w:ascii="仿宋_GB2312" w:hAnsi="仿宋_GB2312" w:eastAsia="仿宋_GB2312" w:cs="仿宋_GB2312"/>
          <w:snapToGrid/>
          <w:kern w:val="0"/>
          <w:sz w:val="32"/>
          <w:szCs w:val="32"/>
          <w:lang w:val="en-US" w:eastAsia="zh-CN" w:bidi="ar"/>
        </w:rPr>
        <w:t xml:space="preserve">四条 </w:t>
      </w:r>
      <w:r>
        <w:rPr>
          <w:rFonts w:hint="eastAsia" w:ascii="仿宋_GB2312" w:hAnsi="仿宋_GB2312" w:eastAsia="仿宋_GB2312" w:cs="仿宋_GB2312"/>
          <w:sz w:val="32"/>
          <w:szCs w:val="32"/>
          <w:u w:val="none"/>
          <w:lang w:val="en-US" w:eastAsia="zh-CN"/>
        </w:rPr>
        <w:t>市、县（市、区）人民政府</w:t>
      </w:r>
      <w:r>
        <w:rPr>
          <w:rFonts w:hint="eastAsia" w:ascii="仿宋_GB2312" w:hAnsi="仿宋_GB2312" w:eastAsia="仿宋_GB2312" w:cs="仿宋_GB2312"/>
          <w:snapToGrid/>
          <w:kern w:val="0"/>
          <w:sz w:val="32"/>
          <w:szCs w:val="32"/>
          <w:lang w:val="en-US" w:eastAsia="zh-CN" w:bidi="ar"/>
        </w:rPr>
        <w:t>应当在全社会范围内培育和践行社会主义核心价值观，推进全国文明典范城市建设，为良好的营商环境打下坚实基础，促进营商发展。</w:t>
      </w:r>
    </w:p>
    <w:p>
      <w:pPr>
        <w:keepNext w:val="0"/>
        <w:keepLines w:val="0"/>
        <w:pageBreakBefore w:val="0"/>
        <w:widowControl/>
        <w:suppressLineNumbers w:val="0"/>
        <w:kinsoku/>
        <w:wordWrap/>
        <w:overflowPunct/>
        <w:topLinePunct w:val="0"/>
        <w:autoSpaceDN/>
        <w:bidi w:val="0"/>
        <w:adjustRightInd w:val="0"/>
        <w:snapToGrid w:val="0"/>
        <w:spacing w:before="157" w:beforeLines="50" w:beforeAutospacing="0" w:after="157" w:afterLines="50" w:afterAutospacing="0" w:line="360" w:lineRule="auto"/>
        <w:ind w:left="0" w:right="0" w:firstLine="640"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napToGrid/>
          <w:kern w:val="0"/>
          <w:sz w:val="32"/>
          <w:szCs w:val="32"/>
          <w:lang w:val="en-US" w:eastAsia="zh-CN" w:bidi="ar"/>
        </w:rPr>
        <w:t>第</w:t>
      </w:r>
      <w:r>
        <w:rPr>
          <w:rFonts w:hint="eastAsia" w:ascii="仿宋_GB2312" w:hAnsi="仿宋_GB2312" w:eastAsia="仿宋_GB2312" w:cs="仿宋_GB2312"/>
          <w:snapToGrid/>
          <w:kern w:val="0"/>
          <w:sz w:val="32"/>
          <w:szCs w:val="32"/>
          <w:lang w:eastAsia="zh-CN" w:bidi="ar"/>
        </w:rPr>
        <w:t>五十</w:t>
      </w:r>
      <w:r>
        <w:rPr>
          <w:rFonts w:hint="eastAsia" w:ascii="仿宋_GB2312" w:hAnsi="仿宋_GB2312" w:eastAsia="仿宋_GB2312" w:cs="仿宋_GB2312"/>
          <w:snapToGrid/>
          <w:kern w:val="0"/>
          <w:sz w:val="32"/>
          <w:szCs w:val="32"/>
          <w:lang w:val="en-US" w:eastAsia="zh-CN" w:bidi="ar"/>
        </w:rPr>
        <w:t xml:space="preserve">五条 </w:t>
      </w:r>
      <w:r>
        <w:rPr>
          <w:rFonts w:hint="eastAsia" w:ascii="仿宋_GB2312" w:hAnsi="仿宋_GB2312" w:eastAsia="仿宋_GB2312" w:cs="仿宋_GB2312"/>
          <w:sz w:val="32"/>
          <w:szCs w:val="32"/>
          <w:u w:val="none"/>
          <w:lang w:val="en-US" w:eastAsia="zh-CN"/>
        </w:rPr>
        <w:t>市、县（市、区）人民政府</w:t>
      </w:r>
      <w:r>
        <w:rPr>
          <w:rFonts w:hint="eastAsia" w:ascii="仿宋_GB2312" w:hAnsi="仿宋_GB2312" w:eastAsia="仿宋_GB2312" w:cs="仿宋_GB2312"/>
          <w:snapToGrid/>
          <w:kern w:val="0"/>
          <w:sz w:val="32"/>
          <w:szCs w:val="32"/>
          <w:lang w:val="en-US" w:eastAsia="zh-CN" w:bidi="ar"/>
        </w:rPr>
        <w:t>应当加快完善现代公共文化服务体系，提高市民综合素质和社会文明程度，推进创新创业文化和诚信文化建设，提升亲商、重商、助商的营商氛围。</w:t>
      </w:r>
    </w:p>
    <w:p>
      <w:pPr>
        <w:keepNext w:val="0"/>
        <w:keepLines w:val="0"/>
        <w:pageBreakBefore w:val="0"/>
        <w:widowControl/>
        <w:suppressLineNumbers w:val="0"/>
        <w:kinsoku/>
        <w:wordWrap/>
        <w:overflowPunct/>
        <w:topLinePunct w:val="0"/>
        <w:autoSpaceDN/>
        <w:bidi w:val="0"/>
        <w:adjustRightInd w:val="0"/>
        <w:snapToGrid w:val="0"/>
        <w:spacing w:before="157" w:beforeLines="50" w:beforeAutospacing="0" w:after="157" w:afterLines="50" w:afterAutospacing="0" w:line="360" w:lineRule="auto"/>
        <w:ind w:left="0" w:right="0" w:firstLine="640"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napToGrid/>
          <w:kern w:val="0"/>
          <w:sz w:val="32"/>
          <w:szCs w:val="32"/>
          <w:lang w:val="en-US" w:eastAsia="zh-CN" w:bidi="ar"/>
        </w:rPr>
        <w:t>第</w:t>
      </w:r>
      <w:r>
        <w:rPr>
          <w:rFonts w:hint="eastAsia" w:ascii="仿宋_GB2312" w:hAnsi="仿宋_GB2312" w:eastAsia="仿宋_GB2312" w:cs="仿宋_GB2312"/>
          <w:snapToGrid/>
          <w:kern w:val="0"/>
          <w:sz w:val="32"/>
          <w:szCs w:val="32"/>
          <w:lang w:eastAsia="zh-CN" w:bidi="ar"/>
        </w:rPr>
        <w:t>五十</w:t>
      </w:r>
      <w:r>
        <w:rPr>
          <w:rFonts w:hint="eastAsia" w:ascii="仿宋_GB2312" w:hAnsi="仿宋_GB2312" w:eastAsia="仿宋_GB2312" w:cs="仿宋_GB2312"/>
          <w:snapToGrid/>
          <w:kern w:val="0"/>
          <w:sz w:val="32"/>
          <w:szCs w:val="32"/>
          <w:lang w:val="en-US" w:eastAsia="zh-CN" w:bidi="ar"/>
        </w:rPr>
        <w:t xml:space="preserve">六条 </w:t>
      </w:r>
      <w:r>
        <w:rPr>
          <w:rFonts w:hint="eastAsia" w:ascii="仿宋_GB2312" w:hAnsi="仿宋_GB2312" w:eastAsia="仿宋_GB2312" w:cs="仿宋_GB2312"/>
          <w:sz w:val="32"/>
          <w:szCs w:val="32"/>
          <w:u w:val="none"/>
          <w:lang w:val="en-US" w:eastAsia="zh-CN"/>
        </w:rPr>
        <w:t>市、县（市、区）人民政府</w:t>
      </w:r>
      <w:r>
        <w:rPr>
          <w:rFonts w:hint="eastAsia" w:ascii="仿宋_GB2312" w:hAnsi="仿宋_GB2312" w:eastAsia="仿宋_GB2312" w:cs="仿宋_GB2312"/>
          <w:snapToGrid/>
          <w:kern w:val="0"/>
          <w:sz w:val="32"/>
          <w:szCs w:val="32"/>
          <w:lang w:val="en-US" w:eastAsia="zh-CN" w:bidi="ar"/>
        </w:rPr>
        <w:t>应当坚持绿色发展理念，加强生态文明建设，加大生态环境整治、修复和保护力度，改善生态环境质量，建设生态宜居典范城市，构建绿色产业体系，吸引优秀市场主体落户，为构建良好营商环境助力。</w:t>
      </w:r>
    </w:p>
    <w:p>
      <w:pPr>
        <w:keepNext w:val="0"/>
        <w:keepLines w:val="0"/>
        <w:pageBreakBefore w:val="0"/>
        <w:widowControl/>
        <w:suppressLineNumbers w:val="0"/>
        <w:kinsoku/>
        <w:wordWrap/>
        <w:overflowPunct/>
        <w:topLinePunct w:val="0"/>
        <w:autoSpaceDN/>
        <w:bidi w:val="0"/>
        <w:adjustRightInd w:val="0"/>
        <w:snapToGrid w:val="0"/>
        <w:spacing w:before="157" w:beforeLines="50" w:beforeAutospacing="0" w:after="157" w:afterLines="50" w:afterAutospacing="0" w:line="360" w:lineRule="auto"/>
        <w:ind w:left="0" w:right="0" w:firstLine="640"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napToGrid/>
          <w:kern w:val="0"/>
          <w:sz w:val="32"/>
          <w:szCs w:val="32"/>
          <w:lang w:val="en-US" w:eastAsia="zh-CN" w:bidi="ar"/>
        </w:rPr>
        <w:t>第五</w:t>
      </w:r>
      <w:r>
        <w:rPr>
          <w:rFonts w:hint="eastAsia" w:ascii="仿宋_GB2312" w:hAnsi="仿宋_GB2312" w:eastAsia="仿宋_GB2312" w:cs="仿宋_GB2312"/>
          <w:snapToGrid/>
          <w:kern w:val="0"/>
          <w:sz w:val="32"/>
          <w:szCs w:val="32"/>
          <w:lang w:eastAsia="zh-CN" w:bidi="ar"/>
        </w:rPr>
        <w:t>十</w:t>
      </w:r>
      <w:r>
        <w:rPr>
          <w:rFonts w:hint="eastAsia" w:ascii="仿宋_GB2312" w:hAnsi="仿宋_GB2312" w:eastAsia="仿宋_GB2312" w:cs="仿宋_GB2312"/>
          <w:snapToGrid/>
          <w:kern w:val="0"/>
          <w:sz w:val="32"/>
          <w:szCs w:val="32"/>
          <w:lang w:val="en-US" w:eastAsia="zh-CN" w:bidi="ar"/>
        </w:rPr>
        <w:t xml:space="preserve">七条 </w:t>
      </w:r>
      <w:r>
        <w:rPr>
          <w:rFonts w:hint="eastAsia" w:ascii="仿宋_GB2312" w:hAnsi="仿宋_GB2312" w:eastAsia="仿宋_GB2312" w:cs="仿宋_GB2312"/>
          <w:sz w:val="32"/>
          <w:szCs w:val="32"/>
          <w:u w:val="none"/>
          <w:lang w:val="en-US" w:eastAsia="zh-CN"/>
        </w:rPr>
        <w:t>市、县（市、区）人民政府</w:t>
      </w:r>
      <w:r>
        <w:rPr>
          <w:rFonts w:hint="eastAsia" w:ascii="仿宋_GB2312" w:hAnsi="仿宋_GB2312" w:eastAsia="仿宋_GB2312" w:cs="仿宋_GB2312"/>
          <w:snapToGrid/>
          <w:kern w:val="0"/>
          <w:sz w:val="32"/>
          <w:szCs w:val="32"/>
          <w:lang w:val="en-US" w:eastAsia="zh-CN" w:bidi="ar"/>
        </w:rPr>
        <w:t>应当推进新型智慧城市建设，统筹推进新一代网络系统、工业互联网等新型基础设施建设，加快传统基础设施数字化改造升级，打造便捷高效的数字生活应用场景，提升城市公共服务便利化、高效化、智能化水平。</w:t>
      </w:r>
    </w:p>
    <w:p>
      <w:pPr>
        <w:keepNext w:val="0"/>
        <w:keepLines w:val="0"/>
        <w:pageBreakBefore w:val="0"/>
        <w:widowControl/>
        <w:suppressLineNumbers w:val="0"/>
        <w:kinsoku/>
        <w:wordWrap/>
        <w:overflowPunct/>
        <w:topLinePunct w:val="0"/>
        <w:autoSpaceDN/>
        <w:bidi w:val="0"/>
        <w:adjustRightInd w:val="0"/>
        <w:snapToGrid w:val="0"/>
        <w:spacing w:before="157" w:beforeLines="50" w:beforeAutospacing="0" w:after="157" w:afterLines="50" w:afterAutospacing="0" w:line="360" w:lineRule="auto"/>
        <w:ind w:left="0" w:right="0" w:firstLine="640"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napToGrid/>
          <w:kern w:val="0"/>
          <w:sz w:val="32"/>
          <w:szCs w:val="32"/>
          <w:lang w:val="en-US" w:eastAsia="zh-CN" w:bidi="ar"/>
        </w:rPr>
        <w:t xml:space="preserve">第五十八条 </w:t>
      </w:r>
      <w:r>
        <w:rPr>
          <w:rFonts w:hint="eastAsia" w:ascii="仿宋_GB2312" w:hAnsi="仿宋_GB2312" w:eastAsia="仿宋_GB2312" w:cs="仿宋_GB2312"/>
          <w:sz w:val="32"/>
          <w:szCs w:val="32"/>
          <w:u w:val="none"/>
          <w:lang w:val="en-US" w:eastAsia="zh-CN"/>
        </w:rPr>
        <w:t>市、县（市、区）人民政府</w:t>
      </w:r>
      <w:r>
        <w:rPr>
          <w:rFonts w:hint="eastAsia" w:ascii="仿宋_GB2312" w:hAnsi="仿宋_GB2312" w:eastAsia="仿宋_GB2312" w:cs="仿宋_GB2312"/>
          <w:snapToGrid/>
          <w:kern w:val="0"/>
          <w:sz w:val="32"/>
          <w:szCs w:val="32"/>
          <w:lang w:val="en-US" w:eastAsia="zh-CN" w:bidi="ar"/>
        </w:rPr>
        <w:t>应当合理配置医疗服务资源，加快医养康养结合的养老服务体系建设，满足多层次的卫生健康服务需求。</w:t>
      </w:r>
    </w:p>
    <w:p>
      <w:pPr>
        <w:keepNext w:val="0"/>
        <w:keepLines w:val="0"/>
        <w:pageBreakBefore w:val="0"/>
        <w:widowControl/>
        <w:suppressLineNumbers w:val="0"/>
        <w:kinsoku/>
        <w:wordWrap/>
        <w:overflowPunct/>
        <w:topLinePunct w:val="0"/>
        <w:autoSpaceDN/>
        <w:bidi w:val="0"/>
        <w:adjustRightInd w:val="0"/>
        <w:snapToGrid w:val="0"/>
        <w:spacing w:before="157" w:beforeLines="50" w:beforeAutospacing="0" w:after="157" w:afterLines="50" w:afterAutospacing="0" w:line="360" w:lineRule="auto"/>
        <w:ind w:left="0" w:right="0" w:firstLine="640"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napToGrid/>
          <w:kern w:val="0"/>
          <w:sz w:val="32"/>
          <w:szCs w:val="32"/>
          <w:lang w:val="en-US" w:eastAsia="zh-CN" w:bidi="ar"/>
        </w:rPr>
        <w:t xml:space="preserve">第五十九条 </w:t>
      </w:r>
      <w:r>
        <w:rPr>
          <w:rFonts w:hint="eastAsia" w:ascii="仿宋_GB2312" w:hAnsi="仿宋_GB2312" w:eastAsia="仿宋_GB2312" w:cs="仿宋_GB2312"/>
          <w:sz w:val="32"/>
          <w:szCs w:val="32"/>
          <w:u w:val="none"/>
          <w:lang w:val="en-US" w:eastAsia="zh-CN"/>
        </w:rPr>
        <w:t>市、县（市、区）人民政府</w:t>
      </w:r>
      <w:r>
        <w:rPr>
          <w:rFonts w:hint="eastAsia" w:ascii="仿宋_GB2312" w:hAnsi="仿宋_GB2312" w:eastAsia="仿宋_GB2312" w:cs="仿宋_GB2312"/>
          <w:snapToGrid/>
          <w:kern w:val="0"/>
          <w:sz w:val="32"/>
          <w:szCs w:val="32"/>
          <w:lang w:val="en-US" w:eastAsia="zh-CN" w:bidi="ar"/>
        </w:rPr>
        <w:t>应当健全住房市场体系和住房保障体系，完善多主体供给、多渠道保障、租购并举的住房制度，加大保障性租赁住房供应力度，为市场主体提供优质居住环境。鼓励支持具备条件的市场主体按照有关规定配建人才和职工公寓等生活服务设施。</w:t>
      </w:r>
    </w:p>
    <w:p>
      <w:pPr>
        <w:keepNext w:val="0"/>
        <w:keepLines w:val="0"/>
        <w:pageBreakBefore w:val="0"/>
        <w:widowControl/>
        <w:suppressLineNumbers w:val="0"/>
        <w:kinsoku/>
        <w:wordWrap/>
        <w:overflowPunct/>
        <w:topLinePunct w:val="0"/>
        <w:autoSpaceDN/>
        <w:bidi w:val="0"/>
        <w:adjustRightInd w:val="0"/>
        <w:snapToGrid w:val="0"/>
        <w:spacing w:before="157" w:beforeLines="50" w:beforeAutospacing="0" w:after="157" w:afterLines="50" w:afterAutospacing="0" w:line="360" w:lineRule="auto"/>
        <w:ind w:left="0" w:right="0" w:firstLine="640"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napToGrid/>
          <w:kern w:val="0"/>
          <w:sz w:val="32"/>
          <w:szCs w:val="32"/>
          <w:lang w:val="en-US" w:eastAsia="zh-CN" w:bidi="ar"/>
        </w:rPr>
        <w:t>第</w:t>
      </w:r>
      <w:r>
        <w:rPr>
          <w:rFonts w:hint="eastAsia" w:ascii="仿宋_GB2312" w:hAnsi="仿宋_GB2312" w:eastAsia="仿宋_GB2312" w:cs="仿宋_GB2312"/>
          <w:snapToGrid/>
          <w:kern w:val="0"/>
          <w:sz w:val="32"/>
          <w:szCs w:val="32"/>
          <w:lang w:eastAsia="zh-CN" w:bidi="ar"/>
        </w:rPr>
        <w:t>六十</w:t>
      </w:r>
      <w:r>
        <w:rPr>
          <w:rFonts w:hint="eastAsia" w:ascii="仿宋_GB2312" w:hAnsi="仿宋_GB2312" w:eastAsia="仿宋_GB2312" w:cs="仿宋_GB2312"/>
          <w:snapToGrid/>
          <w:kern w:val="0"/>
          <w:sz w:val="32"/>
          <w:szCs w:val="32"/>
          <w:lang w:val="en-US" w:eastAsia="zh-CN" w:bidi="ar"/>
        </w:rPr>
        <w:t xml:space="preserve">条 </w:t>
      </w:r>
      <w:r>
        <w:rPr>
          <w:rFonts w:hint="eastAsia" w:ascii="仿宋_GB2312" w:hAnsi="仿宋_GB2312" w:eastAsia="仿宋_GB2312" w:cs="仿宋_GB2312"/>
          <w:sz w:val="32"/>
          <w:szCs w:val="32"/>
          <w:u w:val="none"/>
          <w:lang w:val="en-US" w:eastAsia="zh-CN"/>
        </w:rPr>
        <w:t>市、县（市、区）人民政府</w:t>
      </w:r>
      <w:r>
        <w:rPr>
          <w:rFonts w:hint="eastAsia" w:ascii="仿宋_GB2312" w:hAnsi="仿宋_GB2312" w:eastAsia="仿宋_GB2312" w:cs="仿宋_GB2312"/>
          <w:snapToGrid/>
          <w:kern w:val="0"/>
          <w:sz w:val="32"/>
          <w:szCs w:val="32"/>
          <w:lang w:val="en-US" w:eastAsia="zh-CN" w:bidi="ar"/>
        </w:rPr>
        <w:t>应当完善交通基础设施布局，推动区域交通一体化，结合</w:t>
      </w:r>
      <w:r>
        <w:rPr>
          <w:rFonts w:hint="eastAsia" w:ascii="仿宋_GB2312" w:hAnsi="仿宋_GB2312" w:eastAsia="仿宋_GB2312" w:cs="仿宋_GB2312"/>
          <w:sz w:val="32"/>
          <w:szCs w:val="32"/>
          <w:u w:val="none"/>
          <w:lang w:val="en-US" w:eastAsia="zh-CN"/>
        </w:rPr>
        <w:t>市、县（市、区）</w:t>
      </w:r>
      <w:r>
        <w:rPr>
          <w:rFonts w:hint="eastAsia" w:ascii="仿宋_GB2312" w:hAnsi="仿宋_GB2312" w:eastAsia="仿宋_GB2312" w:cs="仿宋_GB2312"/>
          <w:snapToGrid/>
          <w:kern w:val="0"/>
          <w:sz w:val="32"/>
          <w:szCs w:val="32"/>
          <w:lang w:val="en-US" w:eastAsia="zh-CN" w:bidi="ar"/>
        </w:rPr>
        <w:t>特点，构建外联内畅、立体便捷、智慧绿色的交通网络，提高道路通行能力，优化城市交通出行结构，推动绿色交通发展。</w:t>
      </w:r>
    </w:p>
    <w:p>
      <w:pPr>
        <w:keepNext w:val="0"/>
        <w:keepLines w:val="0"/>
        <w:pageBreakBefore w:val="0"/>
        <w:widowControl/>
        <w:suppressLineNumbers w:val="0"/>
        <w:kinsoku/>
        <w:wordWrap/>
        <w:overflowPunct/>
        <w:topLinePunct w:val="0"/>
        <w:autoSpaceDN/>
        <w:bidi w:val="0"/>
        <w:adjustRightInd w:val="0"/>
        <w:snapToGrid w:val="0"/>
        <w:spacing w:before="157" w:beforeLines="50" w:beforeAutospacing="0" w:after="157" w:afterLines="50" w:afterAutospacing="0" w:line="360" w:lineRule="auto"/>
        <w:ind w:left="0" w:right="0" w:firstLine="640"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napToGrid/>
          <w:kern w:val="0"/>
          <w:sz w:val="32"/>
          <w:szCs w:val="32"/>
          <w:lang w:val="en-US" w:eastAsia="zh-CN" w:bidi="ar"/>
        </w:rPr>
        <w:t>第</w:t>
      </w:r>
      <w:r>
        <w:rPr>
          <w:rFonts w:hint="eastAsia" w:ascii="仿宋_GB2312" w:hAnsi="仿宋_GB2312" w:eastAsia="仿宋_GB2312" w:cs="仿宋_GB2312"/>
          <w:snapToGrid/>
          <w:kern w:val="0"/>
          <w:sz w:val="32"/>
          <w:szCs w:val="32"/>
          <w:lang w:eastAsia="zh-CN" w:bidi="ar"/>
        </w:rPr>
        <w:t>六十</w:t>
      </w:r>
      <w:r>
        <w:rPr>
          <w:rFonts w:hint="eastAsia" w:ascii="仿宋_GB2312" w:hAnsi="仿宋_GB2312" w:eastAsia="仿宋_GB2312" w:cs="仿宋_GB2312"/>
          <w:snapToGrid/>
          <w:kern w:val="0"/>
          <w:sz w:val="32"/>
          <w:szCs w:val="32"/>
          <w:lang w:val="en-US" w:eastAsia="zh-CN" w:bidi="ar"/>
        </w:rPr>
        <w:t xml:space="preserve">一条 </w:t>
      </w:r>
      <w:r>
        <w:rPr>
          <w:rFonts w:hint="eastAsia" w:ascii="仿宋_GB2312" w:hAnsi="仿宋_GB2312" w:eastAsia="仿宋_GB2312" w:cs="仿宋_GB2312"/>
          <w:sz w:val="32"/>
          <w:szCs w:val="32"/>
          <w:u w:val="none"/>
          <w:lang w:val="en-US" w:eastAsia="zh-CN"/>
        </w:rPr>
        <w:t>市、县（市、区）人民政府</w:t>
      </w:r>
      <w:r>
        <w:rPr>
          <w:rFonts w:hint="eastAsia" w:ascii="仿宋_GB2312" w:hAnsi="仿宋_GB2312" w:eastAsia="仿宋_GB2312" w:cs="仿宋_GB2312"/>
          <w:snapToGrid/>
          <w:kern w:val="0"/>
          <w:sz w:val="32"/>
          <w:szCs w:val="32"/>
          <w:lang w:val="en-US" w:eastAsia="zh-CN" w:bidi="ar"/>
        </w:rPr>
        <w:t>应当加强地方特色人文项目发展，统筹利用孔孟之乡、运河文化、古都文化、红色文化等历史文化资源和其它人文资源，结合各地旅游特点、旅游环境、旅游项目，打造济宁</w:t>
      </w:r>
      <w:r>
        <w:rPr>
          <w:rFonts w:hint="eastAsia" w:ascii="仿宋_GB2312" w:hAnsi="仿宋_GB2312" w:eastAsia="仿宋_GB2312" w:cs="仿宋_GB2312"/>
          <w:snapToGrid/>
          <w:kern w:val="0"/>
          <w:sz w:val="32"/>
          <w:szCs w:val="32"/>
          <w:lang w:eastAsia="zh-CN" w:bidi="ar"/>
        </w:rPr>
        <w:t>文化</w:t>
      </w:r>
      <w:r>
        <w:rPr>
          <w:rFonts w:hint="eastAsia" w:ascii="仿宋_GB2312" w:hAnsi="仿宋_GB2312" w:eastAsia="仿宋_GB2312" w:cs="仿宋_GB2312"/>
          <w:snapToGrid/>
          <w:kern w:val="0"/>
          <w:sz w:val="32"/>
          <w:szCs w:val="32"/>
          <w:lang w:val="en-US" w:eastAsia="zh-CN" w:bidi="ar"/>
        </w:rPr>
        <w:t>品牌，旅游业与营商环境充分结合，找准出发点、特色点、发光点，在进一步提高旅游业发展的基础上，带动营商环境的发展。</w:t>
      </w:r>
    </w:p>
    <w:p>
      <w:pPr>
        <w:keepNext w:val="0"/>
        <w:keepLines w:val="0"/>
        <w:pageBreakBefore w:val="0"/>
        <w:widowControl/>
        <w:suppressLineNumbers w:val="0"/>
        <w:kinsoku/>
        <w:wordWrap/>
        <w:overflowPunct/>
        <w:topLinePunct w:val="0"/>
        <w:autoSpaceDN/>
        <w:bidi w:val="0"/>
        <w:adjustRightInd w:val="0"/>
        <w:snapToGrid w:val="0"/>
        <w:spacing w:before="157" w:beforeLines="50" w:beforeAutospacing="0" w:after="157" w:afterLines="50" w:afterAutospacing="0" w:line="360" w:lineRule="auto"/>
        <w:ind w:left="0" w:right="0" w:firstLine="640"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napToGrid/>
          <w:kern w:val="0"/>
          <w:sz w:val="32"/>
          <w:szCs w:val="32"/>
          <w:lang w:val="en-US" w:eastAsia="zh-CN" w:bidi="ar"/>
        </w:rPr>
        <w:t>第</w:t>
      </w:r>
      <w:r>
        <w:rPr>
          <w:rFonts w:hint="eastAsia" w:ascii="仿宋_GB2312" w:hAnsi="仿宋_GB2312" w:eastAsia="仿宋_GB2312" w:cs="仿宋_GB2312"/>
          <w:snapToGrid/>
          <w:kern w:val="0"/>
          <w:sz w:val="32"/>
          <w:szCs w:val="32"/>
          <w:lang w:eastAsia="zh-CN" w:bidi="ar"/>
        </w:rPr>
        <w:t>六十</w:t>
      </w:r>
      <w:r>
        <w:rPr>
          <w:rFonts w:hint="eastAsia" w:ascii="仿宋_GB2312" w:hAnsi="仿宋_GB2312" w:eastAsia="仿宋_GB2312" w:cs="仿宋_GB2312"/>
          <w:snapToGrid/>
          <w:kern w:val="0"/>
          <w:sz w:val="32"/>
          <w:szCs w:val="32"/>
          <w:lang w:val="en-US" w:eastAsia="zh-CN" w:bidi="ar"/>
        </w:rPr>
        <w:t>二条 鼓励和支持国际交流与合作，</w:t>
      </w:r>
      <w:r>
        <w:rPr>
          <w:rFonts w:hint="eastAsia" w:ascii="仿宋_GB2312" w:hAnsi="仿宋_GB2312" w:eastAsia="仿宋_GB2312" w:cs="仿宋_GB2312"/>
          <w:snapToGrid/>
          <w:kern w:val="0"/>
          <w:sz w:val="32"/>
          <w:szCs w:val="32"/>
          <w:lang w:eastAsia="zh-CN" w:bidi="ar"/>
        </w:rPr>
        <w:t>拓展外贸商务项目，</w:t>
      </w:r>
      <w:r>
        <w:rPr>
          <w:rFonts w:hint="eastAsia" w:ascii="仿宋_GB2312" w:hAnsi="仿宋_GB2312" w:eastAsia="仿宋_GB2312" w:cs="仿宋_GB2312"/>
          <w:snapToGrid/>
          <w:kern w:val="0"/>
          <w:sz w:val="32"/>
          <w:szCs w:val="32"/>
          <w:lang w:val="en-US" w:eastAsia="zh-CN" w:bidi="ar"/>
        </w:rPr>
        <w:t>高质量参与国际项目建设，推进</w:t>
      </w:r>
      <w:r>
        <w:rPr>
          <w:rFonts w:hint="eastAsia" w:ascii="仿宋_GB2312" w:hAnsi="仿宋_GB2312" w:eastAsia="仿宋_GB2312" w:cs="仿宋_GB2312"/>
          <w:snapToGrid/>
          <w:kern w:val="0"/>
          <w:sz w:val="32"/>
          <w:szCs w:val="32"/>
          <w:lang w:eastAsia="zh-CN" w:bidi="ar"/>
        </w:rPr>
        <w:t>国际化商圈、</w:t>
      </w:r>
      <w:r>
        <w:rPr>
          <w:rFonts w:hint="eastAsia" w:ascii="仿宋_GB2312" w:hAnsi="仿宋_GB2312" w:eastAsia="仿宋_GB2312" w:cs="仿宋_GB2312"/>
          <w:snapToGrid/>
          <w:kern w:val="0"/>
          <w:sz w:val="32"/>
          <w:szCs w:val="32"/>
          <w:lang w:val="en-US" w:eastAsia="zh-CN" w:bidi="ar"/>
        </w:rPr>
        <w:t>国际</w:t>
      </w:r>
      <w:r>
        <w:rPr>
          <w:rFonts w:hint="eastAsia" w:ascii="仿宋_GB2312" w:hAnsi="仿宋_GB2312" w:eastAsia="仿宋_GB2312" w:cs="仿宋_GB2312"/>
          <w:snapToGrid/>
          <w:kern w:val="0"/>
          <w:sz w:val="32"/>
          <w:szCs w:val="32"/>
          <w:lang w:eastAsia="zh-CN" w:bidi="ar"/>
        </w:rPr>
        <w:t>化</w:t>
      </w:r>
      <w:r>
        <w:rPr>
          <w:rFonts w:hint="eastAsia" w:ascii="仿宋_GB2312" w:hAnsi="仿宋_GB2312" w:eastAsia="仿宋_GB2312" w:cs="仿宋_GB2312"/>
          <w:snapToGrid/>
          <w:kern w:val="0"/>
          <w:sz w:val="32"/>
          <w:szCs w:val="32"/>
          <w:lang w:val="en-US" w:eastAsia="zh-CN" w:bidi="ar"/>
        </w:rPr>
        <w:t>学校、国际化医院、国际化社区建设，提高文化开放包容度，全面提升城市国际化水平。</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0"/>
        <w:rPr>
          <w:rFonts w:hint="default" w:ascii="黑体" w:hAnsi="黑体" w:eastAsia="黑体" w:cs="黑体"/>
          <w:sz w:val="44"/>
          <w:szCs w:val="44"/>
          <w:u w:val="none"/>
          <w:lang w:eastAsia="zh-CN"/>
        </w:rPr>
      </w:pPr>
      <w:r>
        <w:rPr>
          <w:rFonts w:hint="eastAsia" w:ascii="黑体" w:hAnsi="黑体" w:eastAsia="黑体" w:cs="黑体"/>
          <w:sz w:val="44"/>
          <w:szCs w:val="44"/>
          <w:u w:val="none"/>
          <w:lang w:val="en-US" w:eastAsia="zh-CN"/>
        </w:rPr>
        <w:t>第七章 监督</w:t>
      </w:r>
      <w:bookmarkEnd w:id="6"/>
      <w:r>
        <w:rPr>
          <w:rFonts w:hint="default" w:ascii="黑体" w:hAnsi="黑体" w:eastAsia="黑体" w:cs="黑体"/>
          <w:sz w:val="44"/>
          <w:szCs w:val="44"/>
          <w:u w:val="none"/>
          <w:lang w:eastAsia="zh-CN"/>
        </w:rPr>
        <w:t>保障</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640" w:firstLineChars="200"/>
        <w:textAlignment w:val="auto"/>
        <w:rPr>
          <w:rFonts w:hint="default" w:ascii="仿宋_GB2312" w:hAnsi="仿宋_GB2312" w:eastAsia="仿宋_GB2312" w:cs="仿宋_GB2312"/>
          <w:sz w:val="32"/>
          <w:szCs w:val="32"/>
          <w:u w:val="none"/>
          <w:lang w:eastAsia="zh-CN"/>
        </w:rPr>
      </w:pPr>
      <w:r>
        <w:rPr>
          <w:rFonts w:hint="default" w:ascii="仿宋_GB2312" w:hAnsi="仿宋_GB2312" w:eastAsia="仿宋_GB2312" w:cs="仿宋_GB2312"/>
          <w:sz w:val="32"/>
          <w:szCs w:val="32"/>
          <w:u w:val="none"/>
          <w:lang w:val="en-US" w:eastAsia="zh-CN"/>
        </w:rPr>
        <w:t>第</w:t>
      </w:r>
      <w:r>
        <w:rPr>
          <w:rFonts w:hint="default" w:ascii="仿宋_GB2312" w:hAnsi="仿宋_GB2312" w:eastAsia="仿宋_GB2312" w:cs="仿宋_GB2312"/>
          <w:sz w:val="32"/>
          <w:szCs w:val="32"/>
          <w:u w:val="none"/>
          <w:lang w:eastAsia="zh-CN"/>
        </w:rPr>
        <w:t>六十</w:t>
      </w:r>
      <w:r>
        <w:rPr>
          <w:rFonts w:hint="eastAsia" w:ascii="仿宋_GB2312" w:hAnsi="仿宋_GB2312" w:eastAsia="仿宋_GB2312" w:cs="仿宋_GB2312"/>
          <w:sz w:val="32"/>
          <w:szCs w:val="32"/>
          <w:u w:val="none"/>
          <w:lang w:val="en-US" w:eastAsia="zh-CN"/>
        </w:rPr>
        <w:t>三</w:t>
      </w:r>
      <w:r>
        <w:rPr>
          <w:rFonts w:hint="default" w:ascii="仿宋_GB2312" w:hAnsi="仿宋_GB2312" w:eastAsia="仿宋_GB2312" w:cs="仿宋_GB2312"/>
          <w:sz w:val="32"/>
          <w:szCs w:val="32"/>
          <w:u w:val="none"/>
          <w:lang w:val="en-US" w:eastAsia="zh-CN"/>
        </w:rPr>
        <w:t xml:space="preserve">条 </w:t>
      </w:r>
      <w:r>
        <w:rPr>
          <w:rFonts w:hint="eastAsia" w:ascii="仿宋_GB2312" w:hAnsi="仿宋_GB2312" w:eastAsia="仿宋_GB2312" w:cs="仿宋_GB2312"/>
          <w:sz w:val="32"/>
          <w:szCs w:val="32"/>
          <w:u w:val="none"/>
          <w:lang w:val="en-US" w:eastAsia="zh-CN"/>
        </w:rPr>
        <w:t>市、县（市、区）人民政府</w:t>
      </w:r>
      <w:r>
        <w:rPr>
          <w:rFonts w:hint="default" w:ascii="仿宋_GB2312" w:hAnsi="仿宋_GB2312" w:eastAsia="仿宋_GB2312" w:cs="仿宋_GB2312"/>
          <w:sz w:val="32"/>
          <w:szCs w:val="32"/>
          <w:u w:val="none"/>
          <w:lang w:eastAsia="zh-CN"/>
        </w:rPr>
        <w:t>应快速建立健全的行政服务监督机制，形成人大监督、民主监督、行政监督、监察监督、司法监督、舆论监督的协同监督体系，保障优化营商环境相关政策的合理制定、决策效率的提高以及执行的快速落实。</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640" w:firstLineChars="200"/>
        <w:textAlignment w:val="auto"/>
        <w:rPr>
          <w:rFonts w:hint="default" w:ascii="仿宋_GB2312" w:hAnsi="仿宋_GB2312" w:eastAsia="仿宋_GB2312" w:cs="仿宋_GB2312"/>
          <w:sz w:val="32"/>
          <w:szCs w:val="32"/>
          <w:u w:val="none"/>
          <w:lang w:eastAsia="zh-CN"/>
        </w:rPr>
      </w:pPr>
      <w:r>
        <w:rPr>
          <w:rFonts w:hint="default" w:ascii="仿宋_GB2312" w:hAnsi="仿宋_GB2312" w:eastAsia="仿宋_GB2312" w:cs="仿宋_GB2312"/>
          <w:sz w:val="32"/>
          <w:szCs w:val="32"/>
          <w:u w:val="none"/>
          <w:lang w:val="en-US" w:eastAsia="zh-CN"/>
        </w:rPr>
        <w:t>第</w:t>
      </w:r>
      <w:r>
        <w:rPr>
          <w:rFonts w:hint="default" w:ascii="仿宋_GB2312" w:hAnsi="仿宋_GB2312" w:eastAsia="仿宋_GB2312" w:cs="仿宋_GB2312"/>
          <w:sz w:val="32"/>
          <w:szCs w:val="32"/>
          <w:u w:val="none"/>
          <w:lang w:eastAsia="zh-CN"/>
        </w:rPr>
        <w:t>六</w:t>
      </w:r>
      <w:r>
        <w:rPr>
          <w:rFonts w:hint="eastAsia" w:ascii="仿宋_GB2312" w:hAnsi="仿宋_GB2312" w:eastAsia="仿宋_GB2312" w:cs="仿宋_GB2312"/>
          <w:sz w:val="32"/>
          <w:szCs w:val="32"/>
          <w:u w:val="none"/>
          <w:lang w:val="en-US" w:eastAsia="zh-CN"/>
        </w:rPr>
        <w:t>十四</w:t>
      </w:r>
      <w:r>
        <w:rPr>
          <w:rFonts w:hint="default" w:ascii="仿宋_GB2312" w:hAnsi="仿宋_GB2312" w:eastAsia="仿宋_GB2312" w:cs="仿宋_GB2312"/>
          <w:sz w:val="32"/>
          <w:szCs w:val="32"/>
          <w:u w:val="none"/>
          <w:lang w:val="en-US" w:eastAsia="zh-CN"/>
        </w:rPr>
        <w:t xml:space="preserve">条 </w:t>
      </w:r>
      <w:r>
        <w:rPr>
          <w:rFonts w:hint="eastAsia" w:ascii="仿宋_GB2312" w:hAnsi="仿宋_GB2312" w:eastAsia="仿宋_GB2312" w:cs="仿宋_GB2312"/>
          <w:sz w:val="32"/>
          <w:szCs w:val="32"/>
          <w:u w:val="none"/>
          <w:lang w:val="en-US" w:eastAsia="zh-CN"/>
        </w:rPr>
        <w:t>市、县（市、区）</w:t>
      </w:r>
      <w:r>
        <w:rPr>
          <w:rFonts w:hint="default" w:ascii="仿宋_GB2312" w:hAnsi="仿宋_GB2312" w:eastAsia="仿宋_GB2312" w:cs="仿宋_GB2312"/>
          <w:sz w:val="32"/>
          <w:szCs w:val="32"/>
          <w:u w:val="none"/>
          <w:lang w:eastAsia="zh-CN"/>
        </w:rPr>
        <w:t>人民代表大会及其常务委员会以听取和审议专项工作报告、执法检查、规范性文件备案审查、专题询问、质询、特定问题调查等方式进行优化营商环境工作的监督。</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640" w:firstLineChars="200"/>
        <w:textAlignment w:val="auto"/>
        <w:rPr>
          <w:rFonts w:hint="default" w:ascii="仿宋_GB2312" w:hAnsi="仿宋_GB2312" w:eastAsia="仿宋_GB2312" w:cs="仿宋_GB2312"/>
          <w:sz w:val="32"/>
          <w:szCs w:val="32"/>
          <w:u w:val="none"/>
          <w:lang w:val="en-US" w:eastAsia="zh-CN"/>
        </w:rPr>
      </w:pPr>
      <w:r>
        <w:rPr>
          <w:rFonts w:hint="default" w:ascii="仿宋_GB2312" w:hAnsi="仿宋_GB2312" w:eastAsia="仿宋_GB2312" w:cs="仿宋_GB2312"/>
          <w:sz w:val="32"/>
          <w:szCs w:val="32"/>
          <w:u w:val="none"/>
          <w:lang w:val="en-US" w:eastAsia="zh-CN"/>
        </w:rPr>
        <w:t>第</w:t>
      </w:r>
      <w:r>
        <w:rPr>
          <w:rFonts w:hint="default" w:ascii="仿宋_GB2312" w:hAnsi="仿宋_GB2312" w:eastAsia="仿宋_GB2312" w:cs="仿宋_GB2312"/>
          <w:sz w:val="32"/>
          <w:szCs w:val="32"/>
          <w:u w:val="none"/>
          <w:lang w:eastAsia="zh-CN"/>
        </w:rPr>
        <w:t>六十</w:t>
      </w:r>
      <w:r>
        <w:rPr>
          <w:rFonts w:hint="eastAsia" w:ascii="仿宋_GB2312" w:hAnsi="仿宋_GB2312" w:eastAsia="仿宋_GB2312" w:cs="仿宋_GB2312"/>
          <w:sz w:val="32"/>
          <w:szCs w:val="32"/>
          <w:u w:val="none"/>
          <w:lang w:val="en-US" w:eastAsia="zh-CN"/>
        </w:rPr>
        <w:t>五</w:t>
      </w:r>
      <w:r>
        <w:rPr>
          <w:rFonts w:hint="default" w:ascii="仿宋_GB2312" w:hAnsi="仿宋_GB2312" w:eastAsia="仿宋_GB2312" w:cs="仿宋_GB2312"/>
          <w:sz w:val="32"/>
          <w:szCs w:val="32"/>
          <w:u w:val="none"/>
          <w:lang w:val="en-US" w:eastAsia="zh-CN"/>
        </w:rPr>
        <w:t>条</w:t>
      </w:r>
      <w:r>
        <w:rPr>
          <w:rFonts w:hint="eastAsia" w:ascii="仿宋_GB2312" w:hAnsi="仿宋_GB2312" w:eastAsia="仿宋_GB2312" w:cs="仿宋_GB2312"/>
          <w:sz w:val="32"/>
          <w:szCs w:val="32"/>
          <w:u w:val="none"/>
          <w:lang w:val="en-US" w:eastAsia="zh-CN"/>
        </w:rPr>
        <w:t xml:space="preserve"> 市、县（市、区）人民政府</w:t>
      </w:r>
      <w:r>
        <w:rPr>
          <w:rFonts w:hint="default" w:ascii="仿宋_GB2312" w:hAnsi="仿宋_GB2312" w:eastAsia="仿宋_GB2312" w:cs="仿宋_GB2312"/>
          <w:sz w:val="32"/>
          <w:szCs w:val="32"/>
          <w:u w:val="none"/>
          <w:lang w:eastAsia="zh-CN"/>
        </w:rPr>
        <w:t xml:space="preserve">联合人民政协、民主党派、工商联、行业协会、社会公众、新闻媒体对优化营商环境工作进行监督。动员人大代表、政协委员、民主党派成员、专家学者、企业家代表、媒体记者、行业协会商会负责人和群众代表担任监督员，建立营商环境社会监督员制度。      </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640" w:firstLineChars="200"/>
        <w:textAlignment w:val="auto"/>
        <w:rPr>
          <w:rFonts w:hint="default" w:ascii="仿宋_GB2312" w:hAnsi="仿宋_GB2312" w:eastAsia="仿宋_GB2312" w:cs="仿宋_GB2312"/>
          <w:sz w:val="32"/>
          <w:szCs w:val="32"/>
          <w:u w:val="none"/>
          <w:lang w:eastAsia="zh-CN"/>
        </w:rPr>
      </w:pPr>
      <w:r>
        <w:rPr>
          <w:rFonts w:hint="default" w:ascii="仿宋_GB2312" w:hAnsi="仿宋_GB2312" w:eastAsia="仿宋_GB2312" w:cs="仿宋_GB2312"/>
          <w:sz w:val="32"/>
          <w:szCs w:val="32"/>
          <w:u w:val="none"/>
          <w:lang w:val="en-US" w:eastAsia="zh-CN"/>
        </w:rPr>
        <w:t>第</w:t>
      </w:r>
      <w:r>
        <w:rPr>
          <w:rFonts w:hint="eastAsia" w:ascii="仿宋_GB2312" w:hAnsi="仿宋_GB2312" w:eastAsia="仿宋_GB2312" w:cs="仿宋_GB2312"/>
          <w:sz w:val="32"/>
          <w:szCs w:val="32"/>
          <w:u w:val="none"/>
          <w:lang w:val="en-US" w:eastAsia="zh-CN"/>
        </w:rPr>
        <w:t>六十六</w:t>
      </w:r>
      <w:r>
        <w:rPr>
          <w:rFonts w:hint="default" w:ascii="仿宋_GB2312" w:hAnsi="仿宋_GB2312" w:eastAsia="仿宋_GB2312" w:cs="仿宋_GB2312"/>
          <w:sz w:val="32"/>
          <w:szCs w:val="32"/>
          <w:u w:val="none"/>
          <w:lang w:val="en-US" w:eastAsia="zh-CN"/>
        </w:rPr>
        <w:t>条</w:t>
      </w:r>
      <w:r>
        <w:rPr>
          <w:rFonts w:hint="eastAsia" w:ascii="仿宋_GB2312" w:hAnsi="仿宋_GB2312" w:eastAsia="仿宋_GB2312" w:cs="仿宋_GB2312"/>
          <w:sz w:val="32"/>
          <w:szCs w:val="32"/>
          <w:u w:val="none"/>
          <w:lang w:val="en-US" w:eastAsia="zh-CN"/>
        </w:rPr>
        <w:t xml:space="preserve"> </w:t>
      </w:r>
      <w:r>
        <w:rPr>
          <w:rFonts w:hint="default" w:ascii="仿宋_GB2312" w:hAnsi="仿宋_GB2312" w:eastAsia="仿宋_GB2312" w:cs="仿宋_GB2312"/>
          <w:sz w:val="32"/>
          <w:szCs w:val="32"/>
          <w:u w:val="none"/>
          <w:lang w:eastAsia="zh-CN"/>
        </w:rPr>
        <w:t>行政机关应当建立服务评价制度，由市场主体对政务服务事项、政务服务机构、政务服务平台和政务服务人员进行评价。评价结果应当公开，并建立问题整改和反馈机制。</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640" w:firstLineChars="200"/>
        <w:textAlignment w:val="auto"/>
        <w:rPr>
          <w:rFonts w:hint="default" w:ascii="仿宋_GB2312" w:hAnsi="仿宋_GB2312" w:eastAsia="仿宋_GB2312" w:cs="仿宋_GB2312"/>
          <w:sz w:val="32"/>
          <w:szCs w:val="32"/>
          <w:u w:val="none"/>
          <w:lang w:val="en-US" w:eastAsia="zh-CN"/>
        </w:rPr>
      </w:pPr>
      <w:r>
        <w:rPr>
          <w:rFonts w:hint="default" w:ascii="仿宋_GB2312" w:hAnsi="仿宋_GB2312" w:eastAsia="仿宋_GB2312" w:cs="仿宋_GB2312"/>
          <w:sz w:val="32"/>
          <w:szCs w:val="32"/>
          <w:u w:val="none"/>
          <w:lang w:val="en-US" w:eastAsia="zh-CN"/>
        </w:rPr>
        <w:t>第</w:t>
      </w:r>
      <w:r>
        <w:rPr>
          <w:rFonts w:hint="eastAsia" w:ascii="仿宋_GB2312" w:hAnsi="仿宋_GB2312" w:eastAsia="仿宋_GB2312" w:cs="仿宋_GB2312"/>
          <w:sz w:val="32"/>
          <w:szCs w:val="32"/>
          <w:u w:val="none"/>
          <w:lang w:val="en-US" w:eastAsia="zh-CN"/>
        </w:rPr>
        <w:t>六十七</w:t>
      </w:r>
      <w:r>
        <w:rPr>
          <w:rFonts w:hint="default" w:ascii="仿宋_GB2312" w:hAnsi="仿宋_GB2312" w:eastAsia="仿宋_GB2312" w:cs="仿宋_GB2312"/>
          <w:sz w:val="32"/>
          <w:szCs w:val="32"/>
          <w:u w:val="none"/>
          <w:lang w:val="en-US" w:eastAsia="zh-CN"/>
        </w:rPr>
        <w:t xml:space="preserve">条 </w:t>
      </w:r>
      <w:r>
        <w:rPr>
          <w:rFonts w:hint="eastAsia" w:ascii="仿宋_GB2312" w:hAnsi="仿宋_GB2312" w:eastAsia="仿宋_GB2312" w:cs="仿宋_GB2312"/>
          <w:sz w:val="32"/>
          <w:szCs w:val="32"/>
          <w:u w:val="none"/>
          <w:lang w:val="en-US" w:eastAsia="zh-CN"/>
        </w:rPr>
        <w:t>市、县（市、区）人民政府及</w:t>
      </w:r>
      <w:r>
        <w:rPr>
          <w:rFonts w:hint="default" w:ascii="仿宋_GB2312" w:hAnsi="仿宋_GB2312" w:eastAsia="仿宋_GB2312" w:cs="仿宋_GB2312"/>
          <w:sz w:val="32"/>
          <w:szCs w:val="32"/>
          <w:u w:val="none"/>
          <w:lang w:eastAsia="zh-CN"/>
        </w:rPr>
        <w:t xml:space="preserve">有关部门应当建立健全投诉举报和查处回应制度，保障政务服务热线电话、部门电话、政府网站、政务新媒体、信访等渠道的畅通，并鼓励新闻媒体发挥舆论监督作用，多渠道受理有关营商环境的咨询、建议和投诉举报，对受理的诉求应限期办理并及时将办理结果告知投诉人、举报人，并依法为投诉人、举报人保密。   </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640" w:firstLineChars="200"/>
        <w:textAlignment w:val="auto"/>
        <w:rPr>
          <w:rFonts w:hint="default" w:ascii="仿宋_GB2312" w:hAnsi="仿宋_GB2312" w:eastAsia="仿宋_GB2312" w:cs="仿宋_GB2312"/>
          <w:sz w:val="32"/>
          <w:szCs w:val="32"/>
          <w:u w:val="none"/>
          <w:lang w:eastAsia="zh-CN"/>
        </w:rPr>
      </w:pPr>
      <w:r>
        <w:rPr>
          <w:rFonts w:hint="default" w:ascii="仿宋_GB2312" w:hAnsi="仿宋_GB2312" w:eastAsia="仿宋_GB2312" w:cs="仿宋_GB2312"/>
          <w:sz w:val="32"/>
          <w:szCs w:val="32"/>
          <w:u w:val="none"/>
          <w:lang w:val="en-US" w:eastAsia="zh-CN"/>
        </w:rPr>
        <w:t>第</w:t>
      </w:r>
      <w:r>
        <w:rPr>
          <w:rFonts w:hint="eastAsia" w:ascii="仿宋_GB2312" w:hAnsi="仿宋_GB2312" w:eastAsia="仿宋_GB2312" w:cs="仿宋_GB2312"/>
          <w:sz w:val="32"/>
          <w:szCs w:val="32"/>
          <w:u w:val="none"/>
          <w:lang w:val="en-US" w:eastAsia="zh-CN"/>
        </w:rPr>
        <w:t>六十八</w:t>
      </w:r>
      <w:r>
        <w:rPr>
          <w:rFonts w:hint="default" w:ascii="仿宋_GB2312" w:hAnsi="仿宋_GB2312" w:eastAsia="仿宋_GB2312" w:cs="仿宋_GB2312"/>
          <w:sz w:val="32"/>
          <w:szCs w:val="32"/>
          <w:u w:val="none"/>
          <w:lang w:val="en-US" w:eastAsia="zh-CN"/>
        </w:rPr>
        <w:t>条</w:t>
      </w:r>
      <w:r>
        <w:rPr>
          <w:rFonts w:hint="eastAsia" w:ascii="仿宋_GB2312" w:hAnsi="仿宋_GB2312" w:eastAsia="仿宋_GB2312" w:cs="仿宋_GB2312"/>
          <w:sz w:val="32"/>
          <w:szCs w:val="32"/>
          <w:u w:val="none"/>
          <w:lang w:val="en-US" w:eastAsia="zh-CN"/>
        </w:rPr>
        <w:t xml:space="preserve"> 市、县（市、区）人民政府及</w:t>
      </w:r>
      <w:r>
        <w:rPr>
          <w:rFonts w:hint="default" w:ascii="仿宋_GB2312" w:hAnsi="仿宋_GB2312" w:eastAsia="仿宋_GB2312" w:cs="仿宋_GB2312"/>
          <w:sz w:val="32"/>
          <w:szCs w:val="32"/>
          <w:u w:val="none"/>
          <w:lang w:eastAsia="zh-CN"/>
        </w:rPr>
        <w:t>有关部门应当严格履行向市场主体依法作出的政策承诺以及依法订立的各类合同，不得以行政区划调整、政府换届、机构或职能调整以及相关责任人更替等为由违约毁约。因国家利益、公共利益需要改变政策承诺、合同约定的，应当依照法定权限和程序进行；给市场主体造成损失的，应当依法予以补偿。</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640" w:firstLineChars="200"/>
        <w:textAlignment w:val="auto"/>
        <w:rPr>
          <w:rFonts w:hint="default" w:ascii="仿宋_GB2312" w:hAnsi="仿宋_GB2312" w:eastAsia="仿宋_GB2312" w:cs="仿宋_GB2312"/>
          <w:sz w:val="32"/>
          <w:szCs w:val="32"/>
          <w:u w:val="none"/>
          <w:lang w:val="en-US" w:eastAsia="zh-CN"/>
        </w:rPr>
      </w:pPr>
      <w:r>
        <w:rPr>
          <w:rFonts w:hint="default" w:ascii="仿宋_GB2312" w:hAnsi="仿宋_GB2312" w:eastAsia="仿宋_GB2312" w:cs="仿宋_GB2312"/>
          <w:sz w:val="32"/>
          <w:szCs w:val="32"/>
          <w:u w:val="none"/>
          <w:lang w:eastAsia="zh-CN"/>
        </w:rPr>
        <w:t>第</w:t>
      </w:r>
      <w:r>
        <w:rPr>
          <w:rFonts w:hint="eastAsia" w:ascii="仿宋_GB2312" w:hAnsi="仿宋_GB2312" w:eastAsia="仿宋_GB2312" w:cs="仿宋_GB2312"/>
          <w:sz w:val="32"/>
          <w:szCs w:val="32"/>
          <w:u w:val="none"/>
          <w:lang w:val="en-US" w:eastAsia="zh-CN"/>
        </w:rPr>
        <w:t>六十九</w:t>
      </w:r>
      <w:r>
        <w:rPr>
          <w:rFonts w:hint="default" w:ascii="仿宋_GB2312" w:hAnsi="仿宋_GB2312" w:eastAsia="仿宋_GB2312" w:cs="仿宋_GB2312"/>
          <w:sz w:val="32"/>
          <w:szCs w:val="32"/>
          <w:u w:val="none"/>
          <w:lang w:eastAsia="zh-CN"/>
        </w:rPr>
        <w:t xml:space="preserve">条 </w:t>
      </w:r>
      <w:r>
        <w:rPr>
          <w:rFonts w:hint="eastAsia" w:ascii="仿宋_GB2312" w:hAnsi="仿宋_GB2312" w:eastAsia="仿宋_GB2312" w:cs="仿宋_GB2312"/>
          <w:sz w:val="32"/>
          <w:szCs w:val="32"/>
          <w:u w:val="none"/>
          <w:lang w:val="en-US" w:eastAsia="zh-CN"/>
        </w:rPr>
        <w:t>市、县（市、区）人民政府</w:t>
      </w:r>
      <w:r>
        <w:rPr>
          <w:rFonts w:hint="default" w:ascii="仿宋_GB2312" w:hAnsi="仿宋_GB2312" w:eastAsia="仿宋_GB2312" w:cs="仿宋_GB2312"/>
          <w:sz w:val="32"/>
          <w:szCs w:val="32"/>
          <w:u w:val="none"/>
          <w:lang w:eastAsia="zh-CN"/>
        </w:rPr>
        <w:t xml:space="preserve">应当完善经济运行监测长效机制，强化经济运行、公共卫生、金融安全、社会就业等领域风险预警，为预防和善后突发事件及时制定有针对性的政策措施，保障经济社会平稳有序的运行。 </w:t>
      </w:r>
    </w:p>
    <w:p>
      <w:pPr>
        <w:keepNext w:val="0"/>
        <w:keepLines w:val="0"/>
        <w:pageBreakBefore w:val="0"/>
        <w:widowControl w:val="0"/>
        <w:numPr>
          <w:ilvl w:val="0"/>
          <w:numId w:val="2"/>
        </w:numPr>
        <w:kinsoku/>
        <w:wordWrap/>
        <w:overflowPunct/>
        <w:topLinePunct w:val="0"/>
        <w:autoSpaceDE/>
        <w:autoSpaceDN/>
        <w:bidi w:val="0"/>
        <w:adjustRightInd/>
        <w:snapToGrid/>
        <w:spacing w:before="157" w:beforeLines="50" w:after="157" w:afterLines="50" w:line="360" w:lineRule="auto"/>
        <w:jc w:val="center"/>
        <w:textAlignment w:val="auto"/>
        <w:outlineLvl w:val="0"/>
        <w:rPr>
          <w:rFonts w:hint="eastAsia" w:ascii="黑体" w:hAnsi="黑体" w:eastAsia="黑体" w:cs="黑体"/>
          <w:sz w:val="44"/>
          <w:szCs w:val="44"/>
          <w:u w:val="none"/>
          <w:lang w:val="en-US" w:eastAsia="zh-CN"/>
        </w:rPr>
      </w:pPr>
      <w:bookmarkStart w:id="7" w:name="_Toc27932"/>
      <w:r>
        <w:rPr>
          <w:rFonts w:hint="eastAsia" w:ascii="黑体" w:hAnsi="黑体" w:eastAsia="黑体" w:cs="黑体"/>
          <w:sz w:val="44"/>
          <w:szCs w:val="44"/>
          <w:u w:val="none"/>
          <w:lang w:val="en-US" w:eastAsia="zh-CN"/>
        </w:rPr>
        <w:t>法律责任</w:t>
      </w:r>
      <w:bookmarkEnd w:id="7"/>
    </w:p>
    <w:p>
      <w:pPr>
        <w:keepNext w:val="0"/>
        <w:keepLines w:val="0"/>
        <w:pageBreakBefore w:val="0"/>
        <w:widowControl/>
        <w:suppressLineNumbers w:val="0"/>
        <w:kinsoku/>
        <w:wordWrap/>
        <w:overflowPunct/>
        <w:topLinePunct w:val="0"/>
        <w:autoSpaceDN/>
        <w:bidi w:val="0"/>
        <w:adjustRightInd w:val="0"/>
        <w:snapToGrid w:val="0"/>
        <w:spacing w:before="157" w:beforeLines="50" w:beforeAutospacing="0" w:after="157" w:afterLines="50" w:afterAutospacing="0" w:line="360" w:lineRule="auto"/>
        <w:ind w:left="0" w:right="0" w:firstLine="640" w:firstLineChars="200"/>
        <w:jc w:val="both"/>
        <w:textAlignment w:val="auto"/>
        <w:rPr>
          <w:rFonts w:hint="eastAsia" w:ascii="仿宋_GB2312" w:hAnsi="仿宋_GB2312" w:eastAsia="仿宋_GB2312" w:cs="仿宋_GB2312"/>
          <w:color w:val="000000"/>
          <w:sz w:val="32"/>
          <w:szCs w:val="32"/>
          <w:lang w:val="en-US"/>
        </w:rPr>
      </w:pPr>
      <w:r>
        <w:rPr>
          <w:rFonts w:hint="eastAsia" w:ascii="仿宋_GB2312" w:hAnsi="仿宋_GB2312" w:eastAsia="仿宋_GB2312" w:cs="仿宋_GB2312"/>
          <w:snapToGrid/>
          <w:color w:val="000000"/>
          <w:kern w:val="0"/>
          <w:sz w:val="32"/>
          <w:szCs w:val="32"/>
          <w:lang w:val="en-US" w:eastAsia="zh-CN" w:bidi="ar"/>
        </w:rPr>
        <w:t>第</w:t>
      </w:r>
      <w:r>
        <w:rPr>
          <w:rFonts w:hint="eastAsia" w:ascii="仿宋_GB2312" w:hAnsi="仿宋_GB2312" w:eastAsia="仿宋_GB2312" w:cs="仿宋_GB2312"/>
          <w:snapToGrid/>
          <w:color w:val="000000"/>
          <w:kern w:val="0"/>
          <w:sz w:val="32"/>
          <w:szCs w:val="32"/>
          <w:lang w:eastAsia="zh-CN" w:bidi="ar"/>
        </w:rPr>
        <w:t>七十</w:t>
      </w:r>
      <w:r>
        <w:rPr>
          <w:rFonts w:hint="eastAsia" w:ascii="仿宋_GB2312" w:hAnsi="仿宋_GB2312" w:eastAsia="仿宋_GB2312" w:cs="仿宋_GB2312"/>
          <w:snapToGrid/>
          <w:color w:val="000000"/>
          <w:kern w:val="0"/>
          <w:sz w:val="32"/>
          <w:szCs w:val="32"/>
          <w:lang w:val="en-US" w:eastAsia="zh-CN" w:bidi="ar"/>
        </w:rPr>
        <w:t>条 对违反本条例规定的行为，法律、行政法规已经规定法律责任的，适用其规定。</w:t>
      </w:r>
    </w:p>
    <w:p>
      <w:pPr>
        <w:keepNext w:val="0"/>
        <w:keepLines w:val="0"/>
        <w:pageBreakBefore w:val="0"/>
        <w:widowControl/>
        <w:suppressLineNumbers w:val="0"/>
        <w:shd w:val="clear" w:fill="FFFFFF"/>
        <w:kinsoku/>
        <w:wordWrap/>
        <w:overflowPunct/>
        <w:topLinePunct w:val="0"/>
        <w:autoSpaceDN/>
        <w:bidi w:val="0"/>
        <w:adjustRightInd w:val="0"/>
        <w:snapToGrid w:val="0"/>
        <w:spacing w:before="157" w:beforeLines="50" w:beforeAutospacing="0" w:after="157" w:afterLines="50" w:afterAutospacing="0" w:line="360" w:lineRule="auto"/>
        <w:ind w:left="0" w:right="0" w:firstLine="640" w:firstLineChars="200"/>
        <w:jc w:val="both"/>
        <w:textAlignment w:val="auto"/>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snapToGrid/>
          <w:color w:val="000000"/>
          <w:kern w:val="0"/>
          <w:sz w:val="32"/>
          <w:szCs w:val="32"/>
          <w:shd w:val="clear" w:fill="FFFFFF"/>
          <w:lang w:val="en-US" w:eastAsia="zh-CN" w:bidi="ar"/>
        </w:rPr>
        <w:t>第</w:t>
      </w:r>
      <w:r>
        <w:rPr>
          <w:rFonts w:hint="eastAsia" w:ascii="仿宋_GB2312" w:hAnsi="仿宋_GB2312" w:eastAsia="仿宋_GB2312" w:cs="仿宋_GB2312"/>
          <w:snapToGrid/>
          <w:color w:val="000000"/>
          <w:kern w:val="0"/>
          <w:sz w:val="32"/>
          <w:szCs w:val="32"/>
          <w:shd w:val="clear" w:fill="FFFFFF"/>
          <w:lang w:eastAsia="zh-CN" w:bidi="ar"/>
        </w:rPr>
        <w:t>七十</w:t>
      </w:r>
      <w:r>
        <w:rPr>
          <w:rFonts w:hint="eastAsia" w:ascii="仿宋_GB2312" w:hAnsi="仿宋_GB2312" w:eastAsia="仿宋_GB2312" w:cs="仿宋_GB2312"/>
          <w:snapToGrid/>
          <w:color w:val="000000"/>
          <w:kern w:val="0"/>
          <w:sz w:val="32"/>
          <w:szCs w:val="32"/>
          <w:shd w:val="clear" w:fill="FFFFFF"/>
          <w:lang w:val="en-US" w:eastAsia="zh-CN" w:bidi="ar"/>
        </w:rPr>
        <w:t xml:space="preserve">一条 </w:t>
      </w:r>
      <w:r>
        <w:rPr>
          <w:rFonts w:hint="eastAsia" w:ascii="仿宋_GB2312" w:hAnsi="仿宋_GB2312" w:eastAsia="仿宋_GB2312" w:cs="仿宋_GB2312"/>
          <w:sz w:val="32"/>
          <w:szCs w:val="32"/>
          <w:u w:val="none"/>
          <w:lang w:val="en-US" w:eastAsia="zh-CN"/>
        </w:rPr>
        <w:t>市、县（市、区）人民政府及</w:t>
      </w:r>
      <w:r>
        <w:rPr>
          <w:rFonts w:hint="default" w:ascii="仿宋_GB2312" w:hAnsi="仿宋_GB2312" w:eastAsia="仿宋_GB2312" w:cs="仿宋_GB2312"/>
          <w:sz w:val="32"/>
          <w:szCs w:val="32"/>
          <w:u w:val="none"/>
          <w:lang w:eastAsia="zh-CN"/>
        </w:rPr>
        <w:t>有关部门</w:t>
      </w:r>
      <w:r>
        <w:rPr>
          <w:rFonts w:hint="eastAsia" w:ascii="仿宋_GB2312" w:hAnsi="仿宋_GB2312" w:eastAsia="仿宋_GB2312" w:cs="仿宋_GB2312"/>
          <w:sz w:val="32"/>
          <w:szCs w:val="32"/>
          <w:u w:val="none"/>
          <w:lang w:eastAsia="zh-CN"/>
        </w:rPr>
        <w:t>和</w:t>
      </w:r>
      <w:r>
        <w:rPr>
          <w:rFonts w:hint="eastAsia" w:ascii="仿宋_GB2312" w:hAnsi="仿宋_GB2312" w:eastAsia="仿宋_GB2312" w:cs="仿宋_GB2312"/>
          <w:snapToGrid/>
          <w:color w:val="000000"/>
          <w:kern w:val="0"/>
          <w:sz w:val="32"/>
          <w:szCs w:val="32"/>
          <w:shd w:val="clear" w:fill="FFFFFF"/>
          <w:lang w:val="en-US" w:eastAsia="zh-CN" w:bidi="ar"/>
        </w:rPr>
        <w:t>工作人员滥用职权、玩忽职守、徇私舞弊、不履行优化营商环境工作职责，有下列情形之一的，由法律、法规规定的有关机关及相关主管部门责令改正，对负有责任的领导人员和直接责任人员依法给予处理；构成犯罪的，依法追究刑事责任：</w:t>
      </w:r>
    </w:p>
    <w:p>
      <w:pPr>
        <w:keepNext w:val="0"/>
        <w:keepLines w:val="0"/>
        <w:pageBreakBefore w:val="0"/>
        <w:widowControl/>
        <w:suppressLineNumbers w:val="0"/>
        <w:shd w:val="clear" w:fill="FFFFFF"/>
        <w:kinsoku/>
        <w:wordWrap/>
        <w:overflowPunct/>
        <w:topLinePunct w:val="0"/>
        <w:autoSpaceDN/>
        <w:bidi w:val="0"/>
        <w:adjustRightInd w:val="0"/>
        <w:snapToGrid w:val="0"/>
        <w:spacing w:before="157" w:beforeLines="50" w:beforeAutospacing="0" w:after="157" w:afterLines="50" w:afterAutospacing="0" w:line="360" w:lineRule="auto"/>
        <w:ind w:left="0" w:right="0" w:firstLine="640" w:firstLineChars="200"/>
        <w:jc w:val="both"/>
        <w:textAlignment w:val="auto"/>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snapToGrid/>
          <w:color w:val="000000"/>
          <w:kern w:val="0"/>
          <w:sz w:val="32"/>
          <w:szCs w:val="32"/>
          <w:shd w:val="clear" w:fill="FFFFFF"/>
          <w:lang w:val="en-US" w:eastAsia="zh-CN" w:bidi="ar"/>
        </w:rPr>
        <w:t>（一）超越法定职权，违反规定干预市场主体经营自主权的；</w:t>
      </w:r>
    </w:p>
    <w:p>
      <w:pPr>
        <w:keepNext w:val="0"/>
        <w:keepLines w:val="0"/>
        <w:pageBreakBefore w:val="0"/>
        <w:widowControl/>
        <w:suppressLineNumbers w:val="0"/>
        <w:shd w:val="clear" w:fill="FFFFFF"/>
        <w:kinsoku/>
        <w:wordWrap/>
        <w:overflowPunct/>
        <w:topLinePunct w:val="0"/>
        <w:autoSpaceDN/>
        <w:bidi w:val="0"/>
        <w:adjustRightInd w:val="0"/>
        <w:snapToGrid w:val="0"/>
        <w:spacing w:before="157" w:beforeLines="50" w:beforeAutospacing="0" w:after="157" w:afterLines="50" w:afterAutospacing="0" w:line="360" w:lineRule="auto"/>
        <w:ind w:left="0" w:right="0" w:firstLine="640" w:firstLineChars="200"/>
        <w:jc w:val="both"/>
        <w:textAlignment w:val="auto"/>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snapToGrid/>
          <w:color w:val="000000"/>
          <w:kern w:val="0"/>
          <w:sz w:val="32"/>
          <w:szCs w:val="32"/>
          <w:shd w:val="clear" w:fill="FFFFFF"/>
          <w:lang w:val="zh-CN" w:eastAsia="zh-CN" w:bidi="ar"/>
        </w:rPr>
        <w:t>（二）制定或者实施政策措施不依法平等对待各类市场主体；</w:t>
      </w:r>
    </w:p>
    <w:p>
      <w:pPr>
        <w:keepNext w:val="0"/>
        <w:keepLines w:val="0"/>
        <w:pageBreakBefore w:val="0"/>
        <w:widowControl/>
        <w:suppressLineNumbers w:val="0"/>
        <w:shd w:val="clear" w:fill="FFFFFF"/>
        <w:kinsoku/>
        <w:wordWrap/>
        <w:overflowPunct/>
        <w:topLinePunct w:val="0"/>
        <w:autoSpaceDN/>
        <w:bidi w:val="0"/>
        <w:adjustRightInd w:val="0"/>
        <w:snapToGrid w:val="0"/>
        <w:spacing w:before="157" w:beforeLines="50" w:beforeAutospacing="0" w:after="157" w:afterLines="50" w:afterAutospacing="0" w:line="360" w:lineRule="auto"/>
        <w:ind w:left="0" w:right="0" w:firstLine="640" w:firstLineChars="200"/>
        <w:jc w:val="both"/>
        <w:textAlignment w:val="auto"/>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snapToGrid/>
          <w:color w:val="000000"/>
          <w:kern w:val="0"/>
          <w:sz w:val="32"/>
          <w:szCs w:val="32"/>
          <w:shd w:val="clear" w:fill="FFFFFF"/>
          <w:lang w:val="en-US" w:eastAsia="zh-CN" w:bidi="ar"/>
        </w:rPr>
        <w:t>（三）在市场准入等领域设置不合理的限制或者排斥条件的；</w:t>
      </w:r>
    </w:p>
    <w:p>
      <w:pPr>
        <w:keepNext w:val="0"/>
        <w:keepLines w:val="0"/>
        <w:pageBreakBefore w:val="0"/>
        <w:widowControl/>
        <w:suppressLineNumbers w:val="0"/>
        <w:shd w:val="clear" w:fill="FFFFFF"/>
        <w:kinsoku/>
        <w:wordWrap/>
        <w:overflowPunct/>
        <w:topLinePunct w:val="0"/>
        <w:autoSpaceDN/>
        <w:bidi w:val="0"/>
        <w:adjustRightInd w:val="0"/>
        <w:snapToGrid w:val="0"/>
        <w:spacing w:before="157" w:beforeLines="50" w:beforeAutospacing="0" w:after="157" w:afterLines="50" w:afterAutospacing="0" w:line="360" w:lineRule="auto"/>
        <w:ind w:left="0" w:right="0" w:firstLine="640" w:firstLineChars="200"/>
        <w:jc w:val="both"/>
        <w:textAlignment w:val="auto"/>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snapToGrid/>
          <w:color w:val="000000"/>
          <w:kern w:val="0"/>
          <w:sz w:val="32"/>
          <w:szCs w:val="32"/>
          <w:shd w:val="clear" w:fill="FFFFFF"/>
          <w:lang w:val="en-US" w:eastAsia="zh-CN" w:bidi="ar"/>
        </w:rPr>
        <w:t>（四）对市场主体跨区域经营、迁移设置不合理条件的；</w:t>
      </w:r>
    </w:p>
    <w:p>
      <w:pPr>
        <w:keepNext w:val="0"/>
        <w:keepLines w:val="0"/>
        <w:pageBreakBefore w:val="0"/>
        <w:widowControl/>
        <w:suppressLineNumbers w:val="0"/>
        <w:shd w:val="clear" w:fill="FFFFFF"/>
        <w:kinsoku/>
        <w:wordWrap/>
        <w:overflowPunct/>
        <w:topLinePunct w:val="0"/>
        <w:autoSpaceDN/>
        <w:bidi w:val="0"/>
        <w:adjustRightInd w:val="0"/>
        <w:snapToGrid w:val="0"/>
        <w:spacing w:before="157" w:beforeLines="50" w:beforeAutospacing="0" w:after="157" w:afterLines="50" w:afterAutospacing="0" w:line="360" w:lineRule="auto"/>
        <w:ind w:left="0" w:right="0" w:firstLine="640" w:firstLineChars="200"/>
        <w:jc w:val="both"/>
        <w:textAlignment w:val="auto"/>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snapToGrid/>
          <w:color w:val="000000"/>
          <w:kern w:val="0"/>
          <w:sz w:val="32"/>
          <w:szCs w:val="32"/>
          <w:shd w:val="clear" w:fill="FFFFFF"/>
          <w:lang w:val="en-US" w:eastAsia="zh-CN" w:bidi="ar"/>
        </w:rPr>
        <w:t>（五）违法干涉招标投标活动，违法设定投标人资格条件、预选供应商名录的；</w:t>
      </w:r>
    </w:p>
    <w:p>
      <w:pPr>
        <w:keepNext w:val="0"/>
        <w:keepLines w:val="0"/>
        <w:pageBreakBefore w:val="0"/>
        <w:widowControl/>
        <w:suppressLineNumbers w:val="0"/>
        <w:shd w:val="clear" w:fill="FFFFFF"/>
        <w:kinsoku/>
        <w:wordWrap/>
        <w:overflowPunct/>
        <w:topLinePunct w:val="0"/>
        <w:autoSpaceDN/>
        <w:bidi w:val="0"/>
        <w:adjustRightInd w:val="0"/>
        <w:snapToGrid w:val="0"/>
        <w:spacing w:before="157" w:beforeLines="50" w:beforeAutospacing="0" w:after="157" w:afterLines="50" w:afterAutospacing="0" w:line="360" w:lineRule="auto"/>
        <w:ind w:left="0" w:right="0" w:firstLine="640" w:firstLineChars="200"/>
        <w:jc w:val="both"/>
        <w:textAlignment w:val="auto"/>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snapToGrid/>
          <w:color w:val="000000"/>
          <w:kern w:val="0"/>
          <w:sz w:val="32"/>
          <w:szCs w:val="32"/>
          <w:shd w:val="clear" w:fill="FFFFFF"/>
          <w:lang w:val="en-US" w:eastAsia="zh-CN" w:bidi="ar"/>
        </w:rPr>
        <w:t>（六）违反规定向市场主体收费或者变相收费，</w:t>
      </w:r>
      <w:r>
        <w:rPr>
          <w:rFonts w:hint="eastAsia" w:ascii="仿宋_GB2312" w:hAnsi="仿宋_GB2312" w:eastAsia="仿宋_GB2312" w:cs="仿宋_GB2312"/>
          <w:snapToGrid/>
          <w:color w:val="000000"/>
          <w:kern w:val="0"/>
          <w:sz w:val="32"/>
          <w:szCs w:val="32"/>
          <w:shd w:val="clear" w:fill="FFFFFF"/>
          <w:lang w:val="zh-CN" w:eastAsia="zh-CN" w:bidi="ar"/>
        </w:rPr>
        <w:t>强制企业赞助捐赠、订购报刊、加入社团，违法强制企业参加评比、达标、表彰、培训、考核、考试以及类似活动，或者借上述活动向市场主体收费或者变相收费；</w:t>
      </w:r>
    </w:p>
    <w:p>
      <w:pPr>
        <w:keepNext w:val="0"/>
        <w:keepLines w:val="0"/>
        <w:pageBreakBefore w:val="0"/>
        <w:widowControl/>
        <w:suppressLineNumbers w:val="0"/>
        <w:shd w:val="clear" w:fill="FFFFFF"/>
        <w:kinsoku/>
        <w:wordWrap/>
        <w:overflowPunct/>
        <w:topLinePunct w:val="0"/>
        <w:autoSpaceDN/>
        <w:bidi w:val="0"/>
        <w:adjustRightInd w:val="0"/>
        <w:snapToGrid w:val="0"/>
        <w:spacing w:before="157" w:beforeLines="50" w:beforeAutospacing="0" w:after="157" w:afterLines="50" w:afterAutospacing="0" w:line="360" w:lineRule="auto"/>
        <w:ind w:left="0" w:right="0" w:firstLine="640" w:firstLineChars="200"/>
        <w:jc w:val="both"/>
        <w:textAlignment w:val="auto"/>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snapToGrid/>
          <w:color w:val="000000"/>
          <w:kern w:val="0"/>
          <w:sz w:val="32"/>
          <w:szCs w:val="32"/>
          <w:shd w:val="clear" w:fill="FFFFFF"/>
          <w:lang w:val="zh-CN" w:eastAsia="zh-CN" w:bidi="ar"/>
        </w:rPr>
        <w:t>（七）不执行国家和省制定的减税降费优惠政策；</w:t>
      </w:r>
    </w:p>
    <w:p>
      <w:pPr>
        <w:keepNext w:val="0"/>
        <w:keepLines w:val="0"/>
        <w:pageBreakBefore w:val="0"/>
        <w:widowControl/>
        <w:suppressLineNumbers w:val="0"/>
        <w:shd w:val="clear" w:fill="FFFFFF"/>
        <w:kinsoku/>
        <w:wordWrap/>
        <w:overflowPunct/>
        <w:topLinePunct w:val="0"/>
        <w:autoSpaceDN/>
        <w:bidi w:val="0"/>
        <w:adjustRightInd w:val="0"/>
        <w:snapToGrid w:val="0"/>
        <w:spacing w:before="157" w:beforeLines="50" w:beforeAutospacing="0" w:after="157" w:afterLines="50" w:afterAutospacing="0" w:line="360" w:lineRule="auto"/>
        <w:ind w:left="0" w:right="0" w:firstLine="640" w:firstLineChars="200"/>
        <w:jc w:val="both"/>
        <w:textAlignment w:val="auto"/>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snapToGrid/>
          <w:color w:val="000000"/>
          <w:kern w:val="0"/>
          <w:sz w:val="32"/>
          <w:szCs w:val="32"/>
          <w:shd w:val="clear" w:fill="FFFFFF"/>
          <w:lang w:val="en-US" w:eastAsia="zh-CN" w:bidi="ar"/>
        </w:rPr>
        <w:t>（八）公用企事业单位不向社会公开服务标准、资费标准、办理时限等信息；行业协会商会、中介服务机构不向社会公开办理法定行政审批中介服务的条件、流程、时限、收费标准等信息；</w:t>
      </w:r>
    </w:p>
    <w:p>
      <w:pPr>
        <w:keepNext w:val="0"/>
        <w:keepLines w:val="0"/>
        <w:pageBreakBefore w:val="0"/>
        <w:widowControl/>
        <w:suppressLineNumbers w:val="0"/>
        <w:shd w:val="clear" w:fill="FFFFFF"/>
        <w:kinsoku/>
        <w:wordWrap/>
        <w:overflowPunct/>
        <w:topLinePunct w:val="0"/>
        <w:autoSpaceDN/>
        <w:bidi w:val="0"/>
        <w:adjustRightInd w:val="0"/>
        <w:snapToGrid w:val="0"/>
        <w:spacing w:before="157" w:beforeLines="50" w:beforeAutospacing="0" w:after="157" w:afterLines="50" w:afterAutospacing="0" w:line="360" w:lineRule="auto"/>
        <w:ind w:left="0" w:right="0" w:firstLine="640" w:firstLineChars="200"/>
        <w:jc w:val="both"/>
        <w:textAlignment w:val="auto"/>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snapToGrid/>
          <w:color w:val="000000"/>
          <w:kern w:val="0"/>
          <w:sz w:val="32"/>
          <w:szCs w:val="32"/>
          <w:shd w:val="clear" w:fill="FFFFFF"/>
          <w:lang w:val="en-US" w:eastAsia="zh-CN" w:bidi="ar"/>
        </w:rPr>
        <w:t>（九）未按规定落实对市场主体支持性、鼓励性政策的；</w:t>
      </w:r>
    </w:p>
    <w:p>
      <w:pPr>
        <w:keepNext w:val="0"/>
        <w:keepLines w:val="0"/>
        <w:pageBreakBefore w:val="0"/>
        <w:widowControl/>
        <w:suppressLineNumbers w:val="0"/>
        <w:shd w:val="clear" w:fill="FFFFFF"/>
        <w:kinsoku/>
        <w:wordWrap/>
        <w:overflowPunct/>
        <w:topLinePunct w:val="0"/>
        <w:autoSpaceDN/>
        <w:bidi w:val="0"/>
        <w:adjustRightInd w:val="0"/>
        <w:snapToGrid w:val="0"/>
        <w:spacing w:before="157" w:beforeLines="50" w:beforeAutospacing="0" w:after="157" w:afterLines="50" w:afterAutospacing="0" w:line="360" w:lineRule="auto"/>
        <w:ind w:left="0" w:right="0" w:firstLine="640" w:firstLineChars="200"/>
        <w:jc w:val="both"/>
        <w:textAlignment w:val="auto"/>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snapToGrid/>
          <w:color w:val="000000"/>
          <w:kern w:val="0"/>
          <w:sz w:val="32"/>
          <w:szCs w:val="32"/>
          <w:shd w:val="clear" w:fill="FFFFFF"/>
          <w:lang w:val="en-US" w:eastAsia="zh-CN" w:bidi="ar"/>
        </w:rPr>
        <w:t>（十）为市场主体指定或者变相指定中介服务机构，违法强制或变相强制市场主体接受中介服务，违法设定中介服务事项，或中介服务费用转嫁市场主体承担的；</w:t>
      </w:r>
    </w:p>
    <w:p>
      <w:pPr>
        <w:keepNext w:val="0"/>
        <w:keepLines w:val="0"/>
        <w:pageBreakBefore w:val="0"/>
        <w:widowControl/>
        <w:suppressLineNumbers w:val="0"/>
        <w:shd w:val="clear" w:fill="FFFFFF"/>
        <w:kinsoku/>
        <w:wordWrap/>
        <w:overflowPunct/>
        <w:topLinePunct w:val="0"/>
        <w:autoSpaceDN/>
        <w:bidi w:val="0"/>
        <w:adjustRightInd w:val="0"/>
        <w:snapToGrid w:val="0"/>
        <w:spacing w:before="157" w:beforeLines="50" w:beforeAutospacing="0" w:after="157" w:afterLines="50" w:afterAutospacing="0" w:line="360" w:lineRule="auto"/>
        <w:ind w:left="0" w:right="0" w:firstLine="640" w:firstLineChars="200"/>
        <w:jc w:val="both"/>
        <w:textAlignment w:val="auto"/>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snapToGrid/>
          <w:color w:val="000000"/>
          <w:kern w:val="0"/>
          <w:sz w:val="32"/>
          <w:szCs w:val="32"/>
          <w:shd w:val="clear" w:fill="FFFFFF"/>
          <w:lang w:val="en-US" w:eastAsia="zh-CN" w:bidi="ar"/>
        </w:rPr>
        <w:t>（十一）拒不履行向市场主体依法作出的政策承诺以及依法订立的各类合同，或违反合同约定拖欠市场主体的货物、工程、服务等账款的；</w:t>
      </w:r>
    </w:p>
    <w:p>
      <w:pPr>
        <w:keepNext w:val="0"/>
        <w:keepLines w:val="0"/>
        <w:pageBreakBefore w:val="0"/>
        <w:widowControl/>
        <w:suppressLineNumbers w:val="0"/>
        <w:shd w:val="clear" w:fill="FFFFFF"/>
        <w:kinsoku/>
        <w:wordWrap/>
        <w:overflowPunct/>
        <w:topLinePunct w:val="0"/>
        <w:autoSpaceDN/>
        <w:bidi w:val="0"/>
        <w:adjustRightInd w:val="0"/>
        <w:snapToGrid w:val="0"/>
        <w:spacing w:before="157" w:beforeLines="50" w:beforeAutospacing="0" w:after="157" w:afterLines="50" w:afterAutospacing="0" w:line="360" w:lineRule="auto"/>
        <w:ind w:left="0" w:right="0" w:firstLine="640" w:firstLineChars="200"/>
        <w:jc w:val="both"/>
        <w:textAlignment w:val="auto"/>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snapToGrid/>
          <w:color w:val="000000"/>
          <w:kern w:val="0"/>
          <w:sz w:val="32"/>
          <w:szCs w:val="32"/>
          <w:shd w:val="clear" w:fill="FFFFFF"/>
          <w:lang w:val="en-US" w:eastAsia="zh-CN" w:bidi="ar"/>
        </w:rPr>
        <w:t>（十二）违法增设服务事项办理条件和环节，延长办事时限的;</w:t>
      </w:r>
    </w:p>
    <w:p>
      <w:pPr>
        <w:keepNext w:val="0"/>
        <w:keepLines w:val="0"/>
        <w:pageBreakBefore w:val="0"/>
        <w:widowControl/>
        <w:suppressLineNumbers w:val="0"/>
        <w:shd w:val="clear" w:fill="FFFFFF"/>
        <w:kinsoku/>
        <w:wordWrap/>
        <w:overflowPunct/>
        <w:topLinePunct w:val="0"/>
        <w:autoSpaceDN/>
        <w:bidi w:val="0"/>
        <w:adjustRightInd w:val="0"/>
        <w:snapToGrid w:val="0"/>
        <w:spacing w:before="157" w:beforeLines="50" w:beforeAutospacing="0" w:after="157" w:afterLines="50" w:afterAutospacing="0" w:line="360" w:lineRule="auto"/>
        <w:ind w:left="0" w:right="0" w:firstLine="640" w:firstLineChars="200"/>
        <w:jc w:val="both"/>
        <w:textAlignment w:val="auto"/>
        <w:rPr>
          <w:rFonts w:hint="eastAsia" w:ascii="仿宋_GB2312" w:hAnsi="仿宋_GB2312" w:eastAsia="仿宋_GB2312" w:cs="仿宋_GB2312"/>
          <w:color w:val="000000"/>
          <w:sz w:val="32"/>
          <w:szCs w:val="32"/>
          <w:shd w:val="clear" w:fill="FFFFFF"/>
          <w:lang w:val="zh-CN" w:eastAsia="zh-CN"/>
        </w:rPr>
      </w:pPr>
      <w:r>
        <w:rPr>
          <w:rFonts w:hint="eastAsia" w:ascii="仿宋_GB2312" w:hAnsi="仿宋_GB2312" w:eastAsia="仿宋_GB2312" w:cs="仿宋_GB2312"/>
          <w:snapToGrid/>
          <w:color w:val="000000"/>
          <w:kern w:val="0"/>
          <w:sz w:val="32"/>
          <w:szCs w:val="32"/>
          <w:shd w:val="clear" w:fill="FFFFFF"/>
          <w:lang w:val="en-US" w:eastAsia="zh-CN" w:bidi="ar"/>
        </w:rPr>
        <w:t>（十三）</w:t>
      </w:r>
      <w:r>
        <w:rPr>
          <w:rFonts w:hint="eastAsia" w:ascii="仿宋_GB2312" w:hAnsi="仿宋_GB2312" w:eastAsia="仿宋_GB2312" w:cs="仿宋_GB2312"/>
          <w:snapToGrid/>
          <w:color w:val="000000"/>
          <w:kern w:val="0"/>
          <w:sz w:val="32"/>
          <w:szCs w:val="32"/>
          <w:shd w:val="clear" w:fill="FFFFFF"/>
          <w:lang w:val="zh-CN" w:eastAsia="zh-CN" w:bidi="ar"/>
        </w:rPr>
        <w:t>无正当理由逾期不办理企业审批事项，以备案、登记、注册、目录、年检、监制、认定、认证、审定等形式违法设定、变相设定或实施行政许可，违反规定将指定机构的咨询、评估作为准予行政许可条件；</w:t>
      </w:r>
    </w:p>
    <w:p>
      <w:pPr>
        <w:keepNext w:val="0"/>
        <w:keepLines w:val="0"/>
        <w:pageBreakBefore w:val="0"/>
        <w:widowControl/>
        <w:suppressLineNumbers w:val="0"/>
        <w:shd w:val="clear" w:fill="FFFFFF"/>
        <w:kinsoku/>
        <w:wordWrap/>
        <w:overflowPunct/>
        <w:topLinePunct w:val="0"/>
        <w:autoSpaceDN/>
        <w:bidi w:val="0"/>
        <w:adjustRightInd w:val="0"/>
        <w:snapToGrid w:val="0"/>
        <w:spacing w:before="157" w:beforeLines="50" w:beforeAutospacing="0" w:after="157" w:afterLines="50" w:afterAutospacing="0" w:line="360" w:lineRule="auto"/>
        <w:ind w:left="0" w:right="0" w:firstLine="640" w:firstLineChars="200"/>
        <w:jc w:val="both"/>
        <w:textAlignment w:val="auto"/>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snapToGrid/>
          <w:color w:val="000000"/>
          <w:kern w:val="0"/>
          <w:sz w:val="32"/>
          <w:szCs w:val="32"/>
          <w:shd w:val="clear" w:fill="FFFFFF"/>
          <w:lang w:val="zh-CN" w:eastAsia="zh-CN" w:bidi="ar"/>
        </w:rPr>
        <w:t>（十四）变相设定或实施行政许可，对依法取消的行政许可继续实施，或者指定、移交所属单位、行业协会商会等其他组织继续实施以及以其他形式变相实施；</w:t>
      </w:r>
    </w:p>
    <w:p>
      <w:pPr>
        <w:keepNext w:val="0"/>
        <w:keepLines w:val="0"/>
        <w:pageBreakBefore w:val="0"/>
        <w:widowControl/>
        <w:suppressLineNumbers w:val="0"/>
        <w:shd w:val="clear" w:fill="FFFFFF"/>
        <w:kinsoku/>
        <w:wordWrap/>
        <w:overflowPunct/>
        <w:topLinePunct w:val="0"/>
        <w:autoSpaceDN/>
        <w:bidi w:val="0"/>
        <w:adjustRightInd w:val="0"/>
        <w:snapToGrid w:val="0"/>
        <w:spacing w:before="157" w:beforeLines="50" w:beforeAutospacing="0" w:after="157" w:afterLines="50" w:afterAutospacing="0" w:line="360" w:lineRule="auto"/>
        <w:ind w:left="0" w:right="0" w:firstLine="640" w:firstLineChars="200"/>
        <w:jc w:val="both"/>
        <w:textAlignment w:val="auto"/>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snapToGrid/>
          <w:color w:val="000000"/>
          <w:kern w:val="0"/>
          <w:sz w:val="32"/>
          <w:szCs w:val="32"/>
          <w:shd w:val="clear" w:fill="FFFFFF"/>
          <w:lang w:val="en-US" w:eastAsia="zh-CN" w:bidi="ar"/>
        </w:rPr>
        <w:t>（十五）违反规定向市场主体索要证明的；</w:t>
      </w:r>
    </w:p>
    <w:p>
      <w:pPr>
        <w:keepNext w:val="0"/>
        <w:keepLines w:val="0"/>
        <w:pageBreakBefore w:val="0"/>
        <w:widowControl/>
        <w:suppressLineNumbers w:val="0"/>
        <w:shd w:val="clear" w:fill="FFFFFF"/>
        <w:kinsoku/>
        <w:wordWrap/>
        <w:overflowPunct/>
        <w:topLinePunct w:val="0"/>
        <w:autoSpaceDN/>
        <w:bidi w:val="0"/>
        <w:adjustRightInd w:val="0"/>
        <w:snapToGrid w:val="0"/>
        <w:spacing w:before="157" w:beforeLines="50" w:beforeAutospacing="0" w:after="157" w:afterLines="50" w:afterAutospacing="0" w:line="360" w:lineRule="auto"/>
        <w:ind w:left="0" w:right="0" w:firstLine="640" w:firstLineChars="200"/>
        <w:jc w:val="both"/>
        <w:textAlignment w:val="auto"/>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snapToGrid/>
          <w:color w:val="000000"/>
          <w:kern w:val="0"/>
          <w:sz w:val="32"/>
          <w:szCs w:val="32"/>
          <w:shd w:val="clear" w:fill="FFFFFF"/>
          <w:lang w:val="en-US" w:eastAsia="zh-CN" w:bidi="ar"/>
        </w:rPr>
        <w:t>（十六）制定政策措施未经公平竞争审查，妨碍市场主体公平竞争的；</w:t>
      </w:r>
    </w:p>
    <w:p>
      <w:pPr>
        <w:keepNext w:val="0"/>
        <w:keepLines w:val="0"/>
        <w:pageBreakBefore w:val="0"/>
        <w:widowControl/>
        <w:suppressLineNumbers w:val="0"/>
        <w:shd w:val="clear" w:fill="FFFFFF"/>
        <w:kinsoku/>
        <w:wordWrap/>
        <w:overflowPunct/>
        <w:topLinePunct w:val="0"/>
        <w:autoSpaceDN/>
        <w:bidi w:val="0"/>
        <w:adjustRightInd w:val="0"/>
        <w:snapToGrid w:val="0"/>
        <w:spacing w:before="157" w:beforeLines="50" w:beforeAutospacing="0" w:after="157" w:afterLines="50" w:afterAutospacing="0" w:line="360" w:lineRule="auto"/>
        <w:ind w:left="0" w:right="0" w:firstLine="640" w:firstLineChars="200"/>
        <w:jc w:val="both"/>
        <w:textAlignment w:val="auto"/>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snapToGrid/>
          <w:color w:val="000000"/>
          <w:kern w:val="0"/>
          <w:sz w:val="32"/>
          <w:szCs w:val="32"/>
          <w:shd w:val="clear" w:fill="FFFFFF"/>
          <w:lang w:val="en-US" w:eastAsia="zh-CN" w:bidi="ar"/>
        </w:rPr>
        <w:t>（十七）未经法定程序随意撤销、撤回或者变更涉企政策措施的；</w:t>
      </w:r>
    </w:p>
    <w:p>
      <w:pPr>
        <w:keepNext w:val="0"/>
        <w:keepLines w:val="0"/>
        <w:pageBreakBefore w:val="0"/>
        <w:widowControl/>
        <w:suppressLineNumbers w:val="0"/>
        <w:shd w:val="clear" w:fill="FFFFFF"/>
        <w:kinsoku/>
        <w:wordWrap/>
        <w:overflowPunct/>
        <w:topLinePunct w:val="0"/>
        <w:autoSpaceDN/>
        <w:bidi w:val="0"/>
        <w:adjustRightInd w:val="0"/>
        <w:snapToGrid w:val="0"/>
        <w:spacing w:before="157" w:beforeLines="50" w:beforeAutospacing="0" w:after="157" w:afterLines="50" w:afterAutospacing="0" w:line="360" w:lineRule="auto"/>
        <w:ind w:left="0" w:right="0" w:firstLine="640" w:firstLineChars="200"/>
        <w:jc w:val="both"/>
        <w:textAlignment w:val="auto"/>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snapToGrid/>
          <w:color w:val="000000"/>
          <w:kern w:val="0"/>
          <w:sz w:val="32"/>
          <w:szCs w:val="32"/>
          <w:shd w:val="clear" w:fill="FFFFFF"/>
          <w:lang w:val="en-US" w:eastAsia="zh-CN" w:bidi="ar"/>
        </w:rPr>
        <w:t>（十八）对优化营商环境工作机构转办的投诉、举报拒不办理的；</w:t>
      </w:r>
    </w:p>
    <w:p>
      <w:pPr>
        <w:keepNext w:val="0"/>
        <w:keepLines w:val="0"/>
        <w:pageBreakBefore w:val="0"/>
        <w:widowControl/>
        <w:suppressLineNumbers w:val="0"/>
        <w:shd w:val="clear" w:fill="FFFFFF"/>
        <w:kinsoku/>
        <w:wordWrap/>
        <w:overflowPunct/>
        <w:topLinePunct w:val="0"/>
        <w:autoSpaceDN/>
        <w:bidi w:val="0"/>
        <w:adjustRightInd w:val="0"/>
        <w:snapToGrid w:val="0"/>
        <w:spacing w:before="157" w:beforeLines="50" w:beforeAutospacing="0" w:after="157" w:afterLines="50" w:afterAutospacing="0" w:line="360" w:lineRule="auto"/>
        <w:ind w:left="0" w:right="0" w:firstLine="640" w:firstLineChars="200"/>
        <w:jc w:val="both"/>
        <w:textAlignment w:val="auto"/>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snapToGrid/>
          <w:color w:val="000000"/>
          <w:kern w:val="0"/>
          <w:sz w:val="32"/>
          <w:szCs w:val="32"/>
          <w:shd w:val="clear" w:fill="FFFFFF"/>
          <w:lang w:val="en-US" w:eastAsia="zh-CN" w:bidi="ar"/>
        </w:rPr>
        <w:t>（十九）侵害市场主体利益、损害营商环境的其他情形。</w:t>
      </w:r>
      <w:r>
        <w:rPr>
          <w:rFonts w:hint="eastAsia" w:ascii="仿宋_GB2312" w:hAnsi="仿宋_GB2312" w:eastAsia="仿宋_GB2312" w:cs="仿宋_GB2312"/>
          <w:snapToGrid/>
          <w:kern w:val="0"/>
          <w:sz w:val="32"/>
          <w:szCs w:val="32"/>
          <w:shd w:val="clear" w:fill="FFFFFF"/>
          <w:lang w:val="en-US" w:eastAsia="zh-CN" w:bidi="ar"/>
        </w:rPr>
        <w:fldChar w:fldCharType="begin"/>
      </w:r>
      <w:r>
        <w:rPr>
          <w:rFonts w:hint="eastAsia" w:ascii="仿宋_GB2312" w:hAnsi="仿宋_GB2312" w:eastAsia="仿宋_GB2312" w:cs="仿宋_GB2312"/>
          <w:snapToGrid/>
          <w:kern w:val="0"/>
          <w:sz w:val="32"/>
          <w:szCs w:val="32"/>
          <w:shd w:val="clear" w:fill="FFFFFF"/>
          <w:lang w:val="en-US" w:eastAsia="zh-CN" w:bidi="ar"/>
        </w:rPr>
        <w:instrText xml:space="preserve"> HYPERLINK "javascript:void(0);" </w:instrText>
      </w:r>
      <w:r>
        <w:rPr>
          <w:rFonts w:hint="eastAsia" w:ascii="仿宋_GB2312" w:hAnsi="仿宋_GB2312" w:eastAsia="仿宋_GB2312" w:cs="仿宋_GB2312"/>
          <w:snapToGrid/>
          <w:kern w:val="0"/>
          <w:sz w:val="32"/>
          <w:szCs w:val="32"/>
          <w:shd w:val="clear" w:fill="FFFFFF"/>
          <w:lang w:val="en-US" w:eastAsia="zh-CN" w:bidi="ar"/>
        </w:rPr>
        <w:fldChar w:fldCharType="separate"/>
      </w:r>
      <w:r>
        <w:rPr>
          <w:rFonts w:hint="eastAsia" w:ascii="仿宋_GB2312" w:hAnsi="仿宋_GB2312" w:eastAsia="仿宋_GB2312" w:cs="仿宋_GB2312"/>
          <w:snapToGrid/>
          <w:kern w:val="0"/>
          <w:sz w:val="32"/>
          <w:szCs w:val="32"/>
          <w:shd w:val="clear" w:fill="FFFFFF"/>
          <w:lang w:val="en-US" w:eastAsia="zh-CN" w:bidi="ar"/>
        </w:rPr>
        <w:fldChar w:fldCharType="end"/>
      </w:r>
    </w:p>
    <w:p>
      <w:pPr>
        <w:keepNext w:val="0"/>
        <w:keepLines w:val="0"/>
        <w:pageBreakBefore w:val="0"/>
        <w:widowControl/>
        <w:suppressLineNumbers w:val="0"/>
        <w:kinsoku/>
        <w:wordWrap/>
        <w:overflowPunct/>
        <w:topLinePunct w:val="0"/>
        <w:autoSpaceDN/>
        <w:bidi w:val="0"/>
        <w:adjustRightInd w:val="0"/>
        <w:snapToGrid w:val="0"/>
        <w:spacing w:before="157" w:beforeLines="50" w:beforeAutospacing="0" w:after="157" w:afterLines="50" w:afterAutospacing="0" w:line="360" w:lineRule="auto"/>
        <w:ind w:left="0" w:right="0" w:firstLine="640" w:firstLineChars="200"/>
        <w:jc w:val="both"/>
        <w:textAlignment w:val="auto"/>
        <w:rPr>
          <w:rFonts w:hint="eastAsia" w:ascii="仿宋_GB2312" w:hAnsi="仿宋_GB2312" w:eastAsia="仿宋_GB2312" w:cs="仿宋_GB2312"/>
          <w:color w:val="000000"/>
          <w:sz w:val="32"/>
          <w:szCs w:val="32"/>
          <w:lang w:val="en-US"/>
        </w:rPr>
      </w:pPr>
      <w:r>
        <w:rPr>
          <w:rFonts w:hint="eastAsia" w:ascii="仿宋_GB2312" w:hAnsi="仿宋_GB2312" w:eastAsia="仿宋_GB2312" w:cs="仿宋_GB2312"/>
          <w:snapToGrid/>
          <w:color w:val="000000"/>
          <w:kern w:val="0"/>
          <w:sz w:val="32"/>
          <w:szCs w:val="32"/>
          <w:lang w:val="en-US" w:eastAsia="zh-CN" w:bidi="ar"/>
        </w:rPr>
        <w:t>第</w:t>
      </w:r>
      <w:r>
        <w:rPr>
          <w:rFonts w:hint="eastAsia" w:ascii="仿宋_GB2312" w:hAnsi="仿宋_GB2312" w:eastAsia="仿宋_GB2312" w:cs="仿宋_GB2312"/>
          <w:snapToGrid/>
          <w:color w:val="000000"/>
          <w:kern w:val="0"/>
          <w:sz w:val="32"/>
          <w:szCs w:val="32"/>
          <w:lang w:eastAsia="zh-CN" w:bidi="ar"/>
        </w:rPr>
        <w:t>七十</w:t>
      </w:r>
      <w:r>
        <w:rPr>
          <w:rFonts w:hint="eastAsia" w:ascii="仿宋_GB2312" w:hAnsi="仿宋_GB2312" w:eastAsia="仿宋_GB2312" w:cs="仿宋_GB2312"/>
          <w:snapToGrid/>
          <w:color w:val="000000"/>
          <w:kern w:val="0"/>
          <w:sz w:val="32"/>
          <w:szCs w:val="32"/>
          <w:lang w:val="en-US" w:eastAsia="zh-CN" w:bidi="ar"/>
        </w:rPr>
        <w:t xml:space="preserve">二条 </w:t>
      </w:r>
      <w:r>
        <w:rPr>
          <w:rFonts w:hint="eastAsia" w:ascii="仿宋_GB2312" w:hAnsi="仿宋_GB2312" w:eastAsia="仿宋_GB2312" w:cs="仿宋_GB2312"/>
          <w:sz w:val="32"/>
          <w:szCs w:val="32"/>
          <w:u w:val="none"/>
          <w:lang w:val="en-US" w:eastAsia="zh-CN"/>
        </w:rPr>
        <w:t>市、县（市、区）人民政府及</w:t>
      </w:r>
      <w:r>
        <w:rPr>
          <w:rFonts w:hint="default" w:ascii="仿宋_GB2312" w:hAnsi="仿宋_GB2312" w:eastAsia="仿宋_GB2312" w:cs="仿宋_GB2312"/>
          <w:sz w:val="32"/>
          <w:szCs w:val="32"/>
          <w:u w:val="none"/>
          <w:lang w:eastAsia="zh-CN"/>
        </w:rPr>
        <w:t>有关部门</w:t>
      </w:r>
      <w:r>
        <w:rPr>
          <w:rFonts w:hint="eastAsia" w:ascii="仿宋_GB2312" w:hAnsi="仿宋_GB2312" w:eastAsia="仿宋_GB2312" w:cs="仿宋_GB2312"/>
          <w:snapToGrid/>
          <w:color w:val="000000"/>
          <w:kern w:val="0"/>
          <w:sz w:val="32"/>
          <w:szCs w:val="32"/>
          <w:lang w:val="en-US" w:eastAsia="zh-CN" w:bidi="ar"/>
        </w:rPr>
        <w:t>和工作人员在优化营商环境工作中，因缺乏经验、先行先试出现失误错误，但是符合下列条件的，按照有关规定从轻、减轻或者免予追责：</w:t>
      </w:r>
      <w:r>
        <w:rPr>
          <w:rFonts w:hint="eastAsia" w:ascii="仿宋_GB2312" w:hAnsi="仿宋_GB2312" w:eastAsia="仿宋_GB2312" w:cs="仿宋_GB2312"/>
          <w:snapToGrid/>
          <w:kern w:val="0"/>
          <w:sz w:val="32"/>
          <w:szCs w:val="32"/>
          <w:lang w:val="en-US" w:eastAsia="zh-CN" w:bidi="ar"/>
        </w:rPr>
        <w:fldChar w:fldCharType="begin"/>
      </w:r>
      <w:r>
        <w:rPr>
          <w:rFonts w:hint="eastAsia" w:ascii="仿宋_GB2312" w:hAnsi="仿宋_GB2312" w:eastAsia="仿宋_GB2312" w:cs="仿宋_GB2312"/>
          <w:snapToGrid/>
          <w:kern w:val="0"/>
          <w:sz w:val="32"/>
          <w:szCs w:val="32"/>
          <w:lang w:val="en-US" w:eastAsia="zh-CN" w:bidi="ar"/>
        </w:rPr>
        <w:instrText xml:space="preserve"> HYPERLINK "javascript:void(0);" </w:instrText>
      </w:r>
      <w:r>
        <w:rPr>
          <w:rFonts w:hint="eastAsia" w:ascii="仿宋_GB2312" w:hAnsi="仿宋_GB2312" w:eastAsia="仿宋_GB2312" w:cs="仿宋_GB2312"/>
          <w:snapToGrid/>
          <w:kern w:val="0"/>
          <w:sz w:val="32"/>
          <w:szCs w:val="32"/>
          <w:lang w:val="en-US" w:eastAsia="zh-CN" w:bidi="ar"/>
        </w:rPr>
        <w:fldChar w:fldCharType="separate"/>
      </w:r>
      <w:r>
        <w:rPr>
          <w:rFonts w:hint="eastAsia" w:ascii="仿宋_GB2312" w:hAnsi="仿宋_GB2312" w:eastAsia="仿宋_GB2312" w:cs="仿宋_GB2312"/>
          <w:snapToGrid/>
          <w:kern w:val="0"/>
          <w:sz w:val="32"/>
          <w:szCs w:val="32"/>
          <w:lang w:val="en-US" w:eastAsia="zh-CN" w:bidi="ar"/>
        </w:rPr>
        <w:fldChar w:fldCharType="end"/>
      </w:r>
    </w:p>
    <w:p>
      <w:pPr>
        <w:keepNext w:val="0"/>
        <w:keepLines w:val="0"/>
        <w:pageBreakBefore w:val="0"/>
        <w:widowControl/>
        <w:suppressLineNumbers w:val="0"/>
        <w:kinsoku/>
        <w:wordWrap/>
        <w:overflowPunct/>
        <w:topLinePunct w:val="0"/>
        <w:autoSpaceDN/>
        <w:bidi w:val="0"/>
        <w:adjustRightInd w:val="0"/>
        <w:snapToGrid w:val="0"/>
        <w:spacing w:before="157" w:beforeLines="50" w:beforeAutospacing="0" w:after="157" w:afterLines="50" w:afterAutospacing="0" w:line="360" w:lineRule="auto"/>
        <w:ind w:left="0" w:right="0" w:firstLine="640" w:firstLineChars="200"/>
        <w:jc w:val="both"/>
        <w:textAlignment w:val="auto"/>
        <w:rPr>
          <w:rFonts w:hint="eastAsia" w:ascii="仿宋_GB2312" w:hAnsi="仿宋_GB2312" w:eastAsia="仿宋_GB2312" w:cs="仿宋_GB2312"/>
          <w:color w:val="000000"/>
          <w:sz w:val="32"/>
          <w:szCs w:val="32"/>
          <w:lang w:val="en-US"/>
        </w:rPr>
      </w:pPr>
      <w:r>
        <w:rPr>
          <w:rFonts w:hint="eastAsia" w:ascii="仿宋_GB2312" w:hAnsi="仿宋_GB2312" w:eastAsia="仿宋_GB2312" w:cs="仿宋_GB2312"/>
          <w:snapToGrid/>
          <w:color w:val="000000"/>
          <w:kern w:val="0"/>
          <w:sz w:val="32"/>
          <w:szCs w:val="32"/>
          <w:lang w:val="en-US" w:eastAsia="zh-CN" w:bidi="ar"/>
        </w:rPr>
        <w:t>（一）符合国家和省确定的改革方向的；</w:t>
      </w:r>
      <w:r>
        <w:rPr>
          <w:rFonts w:hint="eastAsia" w:ascii="仿宋_GB2312" w:hAnsi="仿宋_GB2312" w:eastAsia="仿宋_GB2312" w:cs="仿宋_GB2312"/>
          <w:snapToGrid/>
          <w:kern w:val="0"/>
          <w:sz w:val="32"/>
          <w:szCs w:val="32"/>
          <w:lang w:val="en-US" w:eastAsia="zh-CN" w:bidi="ar"/>
        </w:rPr>
        <w:fldChar w:fldCharType="begin"/>
      </w:r>
      <w:r>
        <w:rPr>
          <w:rFonts w:hint="eastAsia" w:ascii="仿宋_GB2312" w:hAnsi="仿宋_GB2312" w:eastAsia="仿宋_GB2312" w:cs="仿宋_GB2312"/>
          <w:snapToGrid/>
          <w:kern w:val="0"/>
          <w:sz w:val="32"/>
          <w:szCs w:val="32"/>
          <w:lang w:val="en-US" w:eastAsia="zh-CN" w:bidi="ar"/>
        </w:rPr>
        <w:instrText xml:space="preserve"> HYPERLINK "javascript:void(0);" </w:instrText>
      </w:r>
      <w:r>
        <w:rPr>
          <w:rFonts w:hint="eastAsia" w:ascii="仿宋_GB2312" w:hAnsi="仿宋_GB2312" w:eastAsia="仿宋_GB2312" w:cs="仿宋_GB2312"/>
          <w:snapToGrid/>
          <w:kern w:val="0"/>
          <w:sz w:val="32"/>
          <w:szCs w:val="32"/>
          <w:lang w:val="en-US" w:eastAsia="zh-CN" w:bidi="ar"/>
        </w:rPr>
        <w:fldChar w:fldCharType="separate"/>
      </w:r>
      <w:r>
        <w:rPr>
          <w:rFonts w:hint="eastAsia" w:ascii="仿宋_GB2312" w:hAnsi="仿宋_GB2312" w:eastAsia="仿宋_GB2312" w:cs="仿宋_GB2312"/>
          <w:snapToGrid/>
          <w:kern w:val="0"/>
          <w:sz w:val="32"/>
          <w:szCs w:val="32"/>
          <w:lang w:val="en-US" w:eastAsia="zh-CN" w:bidi="ar"/>
        </w:rPr>
        <w:fldChar w:fldCharType="end"/>
      </w:r>
    </w:p>
    <w:p>
      <w:pPr>
        <w:keepNext w:val="0"/>
        <w:keepLines w:val="0"/>
        <w:pageBreakBefore w:val="0"/>
        <w:widowControl/>
        <w:suppressLineNumbers w:val="0"/>
        <w:kinsoku/>
        <w:wordWrap/>
        <w:overflowPunct/>
        <w:topLinePunct w:val="0"/>
        <w:autoSpaceDN/>
        <w:bidi w:val="0"/>
        <w:adjustRightInd w:val="0"/>
        <w:snapToGrid w:val="0"/>
        <w:spacing w:before="157" w:beforeLines="50" w:beforeAutospacing="0" w:after="157" w:afterLines="50" w:afterAutospacing="0" w:line="360" w:lineRule="auto"/>
        <w:ind w:left="0" w:right="0" w:firstLine="640" w:firstLineChars="200"/>
        <w:jc w:val="both"/>
        <w:textAlignment w:val="auto"/>
        <w:rPr>
          <w:rFonts w:hint="eastAsia" w:ascii="仿宋_GB2312" w:hAnsi="仿宋_GB2312" w:eastAsia="仿宋_GB2312" w:cs="仿宋_GB2312"/>
          <w:color w:val="000000"/>
          <w:sz w:val="32"/>
          <w:szCs w:val="32"/>
          <w:lang w:val="en-US"/>
        </w:rPr>
      </w:pPr>
      <w:r>
        <w:rPr>
          <w:rFonts w:hint="eastAsia" w:ascii="仿宋_GB2312" w:hAnsi="仿宋_GB2312" w:eastAsia="仿宋_GB2312" w:cs="仿宋_GB2312"/>
          <w:snapToGrid/>
          <w:color w:val="000000"/>
          <w:kern w:val="0"/>
          <w:sz w:val="32"/>
          <w:szCs w:val="32"/>
          <w:lang w:val="en-US" w:eastAsia="zh-CN" w:bidi="ar"/>
        </w:rPr>
        <w:t>（二）未违反法律、法规禁止性规定的；</w:t>
      </w:r>
      <w:r>
        <w:rPr>
          <w:rFonts w:hint="eastAsia" w:ascii="仿宋_GB2312" w:hAnsi="仿宋_GB2312" w:eastAsia="仿宋_GB2312" w:cs="仿宋_GB2312"/>
          <w:snapToGrid/>
          <w:kern w:val="0"/>
          <w:sz w:val="32"/>
          <w:szCs w:val="32"/>
          <w:lang w:val="en-US" w:eastAsia="zh-CN" w:bidi="ar"/>
        </w:rPr>
        <w:fldChar w:fldCharType="begin"/>
      </w:r>
      <w:r>
        <w:rPr>
          <w:rFonts w:hint="eastAsia" w:ascii="仿宋_GB2312" w:hAnsi="仿宋_GB2312" w:eastAsia="仿宋_GB2312" w:cs="仿宋_GB2312"/>
          <w:snapToGrid/>
          <w:kern w:val="0"/>
          <w:sz w:val="32"/>
          <w:szCs w:val="32"/>
          <w:lang w:val="en-US" w:eastAsia="zh-CN" w:bidi="ar"/>
        </w:rPr>
        <w:instrText xml:space="preserve"> HYPERLINK "javascript:void(0);" </w:instrText>
      </w:r>
      <w:r>
        <w:rPr>
          <w:rFonts w:hint="eastAsia" w:ascii="仿宋_GB2312" w:hAnsi="仿宋_GB2312" w:eastAsia="仿宋_GB2312" w:cs="仿宋_GB2312"/>
          <w:snapToGrid/>
          <w:kern w:val="0"/>
          <w:sz w:val="32"/>
          <w:szCs w:val="32"/>
          <w:lang w:val="en-US" w:eastAsia="zh-CN" w:bidi="ar"/>
        </w:rPr>
        <w:fldChar w:fldCharType="separate"/>
      </w:r>
      <w:r>
        <w:rPr>
          <w:rFonts w:hint="eastAsia" w:ascii="仿宋_GB2312" w:hAnsi="仿宋_GB2312" w:eastAsia="仿宋_GB2312" w:cs="仿宋_GB2312"/>
          <w:snapToGrid/>
          <w:kern w:val="0"/>
          <w:sz w:val="32"/>
          <w:szCs w:val="32"/>
          <w:lang w:val="en-US" w:eastAsia="zh-CN" w:bidi="ar"/>
        </w:rPr>
        <w:fldChar w:fldCharType="end"/>
      </w:r>
    </w:p>
    <w:p>
      <w:pPr>
        <w:keepNext w:val="0"/>
        <w:keepLines w:val="0"/>
        <w:pageBreakBefore w:val="0"/>
        <w:widowControl/>
        <w:suppressLineNumbers w:val="0"/>
        <w:kinsoku/>
        <w:wordWrap/>
        <w:overflowPunct/>
        <w:topLinePunct w:val="0"/>
        <w:autoSpaceDN/>
        <w:bidi w:val="0"/>
        <w:adjustRightInd w:val="0"/>
        <w:snapToGrid w:val="0"/>
        <w:spacing w:before="157" w:beforeLines="50" w:beforeAutospacing="0" w:after="157" w:afterLines="50" w:afterAutospacing="0" w:line="360" w:lineRule="auto"/>
        <w:ind w:left="0" w:right="0" w:firstLine="640" w:firstLineChars="200"/>
        <w:jc w:val="both"/>
        <w:textAlignment w:val="auto"/>
        <w:rPr>
          <w:rFonts w:hint="eastAsia" w:ascii="仿宋_GB2312" w:hAnsi="仿宋_GB2312" w:eastAsia="仿宋_GB2312" w:cs="仿宋_GB2312"/>
          <w:color w:val="000000"/>
          <w:sz w:val="32"/>
          <w:szCs w:val="32"/>
          <w:lang w:val="en-US"/>
        </w:rPr>
      </w:pPr>
      <w:r>
        <w:rPr>
          <w:rFonts w:hint="eastAsia" w:ascii="仿宋_GB2312" w:hAnsi="仿宋_GB2312" w:eastAsia="仿宋_GB2312" w:cs="仿宋_GB2312"/>
          <w:snapToGrid/>
          <w:color w:val="000000"/>
          <w:kern w:val="0"/>
          <w:sz w:val="32"/>
          <w:szCs w:val="32"/>
          <w:lang w:val="en-US" w:eastAsia="zh-CN" w:bidi="ar"/>
        </w:rPr>
        <w:t>（三）决策程序符合法律、法规规定的；</w:t>
      </w:r>
      <w:r>
        <w:rPr>
          <w:rFonts w:hint="eastAsia" w:ascii="仿宋_GB2312" w:hAnsi="仿宋_GB2312" w:eastAsia="仿宋_GB2312" w:cs="仿宋_GB2312"/>
          <w:snapToGrid/>
          <w:kern w:val="0"/>
          <w:sz w:val="32"/>
          <w:szCs w:val="32"/>
          <w:lang w:val="en-US" w:eastAsia="zh-CN" w:bidi="ar"/>
        </w:rPr>
        <w:fldChar w:fldCharType="begin"/>
      </w:r>
      <w:r>
        <w:rPr>
          <w:rFonts w:hint="eastAsia" w:ascii="仿宋_GB2312" w:hAnsi="仿宋_GB2312" w:eastAsia="仿宋_GB2312" w:cs="仿宋_GB2312"/>
          <w:snapToGrid/>
          <w:kern w:val="0"/>
          <w:sz w:val="32"/>
          <w:szCs w:val="32"/>
          <w:lang w:val="en-US" w:eastAsia="zh-CN" w:bidi="ar"/>
        </w:rPr>
        <w:instrText xml:space="preserve"> HYPERLINK "javascript:void(0);" </w:instrText>
      </w:r>
      <w:r>
        <w:rPr>
          <w:rFonts w:hint="eastAsia" w:ascii="仿宋_GB2312" w:hAnsi="仿宋_GB2312" w:eastAsia="仿宋_GB2312" w:cs="仿宋_GB2312"/>
          <w:snapToGrid/>
          <w:kern w:val="0"/>
          <w:sz w:val="32"/>
          <w:szCs w:val="32"/>
          <w:lang w:val="en-US" w:eastAsia="zh-CN" w:bidi="ar"/>
        </w:rPr>
        <w:fldChar w:fldCharType="separate"/>
      </w:r>
      <w:r>
        <w:rPr>
          <w:rFonts w:hint="eastAsia" w:ascii="仿宋_GB2312" w:hAnsi="仿宋_GB2312" w:eastAsia="仿宋_GB2312" w:cs="仿宋_GB2312"/>
          <w:snapToGrid/>
          <w:kern w:val="0"/>
          <w:sz w:val="32"/>
          <w:szCs w:val="32"/>
          <w:lang w:val="en-US" w:eastAsia="zh-CN" w:bidi="ar"/>
        </w:rPr>
        <w:fldChar w:fldCharType="end"/>
      </w:r>
    </w:p>
    <w:p>
      <w:pPr>
        <w:keepNext w:val="0"/>
        <w:keepLines w:val="0"/>
        <w:pageBreakBefore w:val="0"/>
        <w:widowControl/>
        <w:suppressLineNumbers w:val="0"/>
        <w:kinsoku/>
        <w:wordWrap/>
        <w:overflowPunct/>
        <w:topLinePunct w:val="0"/>
        <w:autoSpaceDN/>
        <w:bidi w:val="0"/>
        <w:adjustRightInd w:val="0"/>
        <w:snapToGrid w:val="0"/>
        <w:spacing w:before="157" w:beforeLines="50" w:beforeAutospacing="0" w:after="157" w:afterLines="50" w:afterAutospacing="0" w:line="360" w:lineRule="auto"/>
        <w:ind w:left="0" w:right="0" w:firstLine="640" w:firstLineChars="200"/>
        <w:jc w:val="both"/>
        <w:textAlignment w:val="auto"/>
        <w:rPr>
          <w:rFonts w:hint="eastAsia" w:ascii="仿宋_GB2312" w:hAnsi="仿宋_GB2312" w:eastAsia="仿宋_GB2312" w:cs="仿宋_GB2312"/>
          <w:color w:val="000000"/>
          <w:sz w:val="32"/>
          <w:szCs w:val="32"/>
          <w:lang w:val="en-US"/>
        </w:rPr>
      </w:pPr>
      <w:r>
        <w:rPr>
          <w:rFonts w:hint="eastAsia" w:ascii="仿宋_GB2312" w:hAnsi="仿宋_GB2312" w:eastAsia="仿宋_GB2312" w:cs="仿宋_GB2312"/>
          <w:snapToGrid/>
          <w:color w:val="000000"/>
          <w:kern w:val="0"/>
          <w:sz w:val="32"/>
          <w:szCs w:val="32"/>
          <w:lang w:val="en-US" w:eastAsia="zh-CN" w:bidi="ar"/>
        </w:rPr>
        <w:t>（四）勤勉尽责、未牟取私利的；</w:t>
      </w:r>
      <w:r>
        <w:rPr>
          <w:rFonts w:hint="eastAsia" w:ascii="仿宋_GB2312" w:hAnsi="仿宋_GB2312" w:eastAsia="仿宋_GB2312" w:cs="仿宋_GB2312"/>
          <w:snapToGrid/>
          <w:kern w:val="0"/>
          <w:sz w:val="32"/>
          <w:szCs w:val="32"/>
          <w:lang w:val="en-US" w:eastAsia="zh-CN" w:bidi="ar"/>
        </w:rPr>
        <w:fldChar w:fldCharType="begin"/>
      </w:r>
      <w:r>
        <w:rPr>
          <w:rFonts w:hint="eastAsia" w:ascii="仿宋_GB2312" w:hAnsi="仿宋_GB2312" w:eastAsia="仿宋_GB2312" w:cs="仿宋_GB2312"/>
          <w:snapToGrid/>
          <w:kern w:val="0"/>
          <w:sz w:val="32"/>
          <w:szCs w:val="32"/>
          <w:lang w:val="en-US" w:eastAsia="zh-CN" w:bidi="ar"/>
        </w:rPr>
        <w:instrText xml:space="preserve"> HYPERLINK "javascript:void(0);" </w:instrText>
      </w:r>
      <w:r>
        <w:rPr>
          <w:rFonts w:hint="eastAsia" w:ascii="仿宋_GB2312" w:hAnsi="仿宋_GB2312" w:eastAsia="仿宋_GB2312" w:cs="仿宋_GB2312"/>
          <w:snapToGrid/>
          <w:kern w:val="0"/>
          <w:sz w:val="32"/>
          <w:szCs w:val="32"/>
          <w:lang w:val="en-US" w:eastAsia="zh-CN" w:bidi="ar"/>
        </w:rPr>
        <w:fldChar w:fldCharType="separate"/>
      </w:r>
      <w:r>
        <w:rPr>
          <w:rFonts w:hint="eastAsia" w:ascii="仿宋_GB2312" w:hAnsi="仿宋_GB2312" w:eastAsia="仿宋_GB2312" w:cs="仿宋_GB2312"/>
          <w:snapToGrid/>
          <w:kern w:val="0"/>
          <w:sz w:val="32"/>
          <w:szCs w:val="32"/>
          <w:lang w:val="en-US" w:eastAsia="zh-CN" w:bidi="ar"/>
        </w:rPr>
        <w:fldChar w:fldCharType="end"/>
      </w:r>
    </w:p>
    <w:p>
      <w:pPr>
        <w:keepNext w:val="0"/>
        <w:keepLines w:val="0"/>
        <w:pageBreakBefore w:val="0"/>
        <w:widowControl/>
        <w:suppressLineNumbers w:val="0"/>
        <w:kinsoku/>
        <w:wordWrap/>
        <w:overflowPunct/>
        <w:topLinePunct w:val="0"/>
        <w:autoSpaceDN/>
        <w:bidi w:val="0"/>
        <w:adjustRightInd w:val="0"/>
        <w:snapToGrid w:val="0"/>
        <w:spacing w:before="157" w:beforeLines="50" w:beforeAutospacing="0" w:after="157" w:afterLines="50" w:afterAutospacing="0" w:line="360" w:lineRule="auto"/>
        <w:ind w:left="0" w:right="0" w:firstLine="640" w:firstLineChars="200"/>
        <w:jc w:val="both"/>
        <w:textAlignment w:val="auto"/>
        <w:rPr>
          <w:rFonts w:hint="eastAsia" w:ascii="仿宋_GB2312" w:hAnsi="仿宋_GB2312" w:eastAsia="仿宋_GB2312" w:cs="仿宋_GB2312"/>
          <w:color w:val="000000"/>
          <w:sz w:val="32"/>
          <w:szCs w:val="32"/>
          <w:lang w:val="en-US"/>
        </w:rPr>
      </w:pPr>
      <w:r>
        <w:rPr>
          <w:rFonts w:hint="eastAsia" w:ascii="仿宋_GB2312" w:hAnsi="仿宋_GB2312" w:eastAsia="仿宋_GB2312" w:cs="仿宋_GB2312"/>
          <w:snapToGrid/>
          <w:color w:val="000000"/>
          <w:kern w:val="0"/>
          <w:sz w:val="32"/>
          <w:szCs w:val="32"/>
          <w:lang w:val="en-US" w:eastAsia="zh-CN" w:bidi="ar"/>
        </w:rPr>
        <w:t>（五）主动挽回损失、消除不良影响或者有效阻止危害结果发生的。</w:t>
      </w:r>
      <w:r>
        <w:rPr>
          <w:rFonts w:hint="eastAsia" w:ascii="仿宋_GB2312" w:hAnsi="仿宋_GB2312" w:eastAsia="仿宋_GB2312" w:cs="仿宋_GB2312"/>
          <w:snapToGrid/>
          <w:kern w:val="0"/>
          <w:sz w:val="32"/>
          <w:szCs w:val="32"/>
          <w:lang w:val="en-US" w:eastAsia="zh-CN" w:bidi="ar"/>
        </w:rPr>
        <w:fldChar w:fldCharType="begin"/>
      </w:r>
      <w:r>
        <w:rPr>
          <w:rFonts w:hint="eastAsia" w:ascii="仿宋_GB2312" w:hAnsi="仿宋_GB2312" w:eastAsia="仿宋_GB2312" w:cs="仿宋_GB2312"/>
          <w:snapToGrid/>
          <w:kern w:val="0"/>
          <w:sz w:val="32"/>
          <w:szCs w:val="32"/>
          <w:lang w:val="en-US" w:eastAsia="zh-CN" w:bidi="ar"/>
        </w:rPr>
        <w:instrText xml:space="preserve"> HYPERLINK "javascript:void(0);" </w:instrText>
      </w:r>
      <w:r>
        <w:rPr>
          <w:rFonts w:hint="eastAsia" w:ascii="仿宋_GB2312" w:hAnsi="仿宋_GB2312" w:eastAsia="仿宋_GB2312" w:cs="仿宋_GB2312"/>
          <w:snapToGrid/>
          <w:kern w:val="0"/>
          <w:sz w:val="32"/>
          <w:szCs w:val="32"/>
          <w:lang w:val="en-US" w:eastAsia="zh-CN" w:bidi="ar"/>
        </w:rPr>
        <w:fldChar w:fldCharType="separate"/>
      </w:r>
      <w:r>
        <w:rPr>
          <w:rFonts w:hint="eastAsia" w:ascii="仿宋_GB2312" w:hAnsi="仿宋_GB2312" w:eastAsia="仿宋_GB2312" w:cs="仿宋_GB2312"/>
          <w:snapToGrid/>
          <w:kern w:val="0"/>
          <w:sz w:val="32"/>
          <w:szCs w:val="32"/>
          <w:lang w:val="en-US" w:eastAsia="zh-CN" w:bidi="ar"/>
        </w:rPr>
        <w:fldChar w:fldCharType="end"/>
      </w:r>
    </w:p>
    <w:p>
      <w:pPr>
        <w:keepNext w:val="0"/>
        <w:keepLines w:val="0"/>
        <w:pageBreakBefore w:val="0"/>
        <w:widowControl/>
        <w:suppressLineNumbers w:val="0"/>
        <w:kinsoku/>
        <w:wordWrap/>
        <w:overflowPunct/>
        <w:topLinePunct w:val="0"/>
        <w:autoSpaceDN/>
        <w:bidi w:val="0"/>
        <w:adjustRightInd w:val="0"/>
        <w:snapToGrid w:val="0"/>
        <w:spacing w:before="157" w:beforeLines="50" w:beforeAutospacing="0" w:after="157" w:afterLines="50" w:afterAutospacing="0" w:line="360" w:lineRule="auto"/>
        <w:ind w:left="0" w:right="0" w:firstLine="640" w:firstLineChars="200"/>
        <w:jc w:val="both"/>
        <w:textAlignment w:val="auto"/>
        <w:rPr>
          <w:rFonts w:hint="eastAsia" w:ascii="仿宋_GB2312" w:hAnsi="仿宋_GB2312" w:eastAsia="仿宋_GB2312" w:cs="仿宋_GB2312"/>
          <w:sz w:val="44"/>
          <w:szCs w:val="44"/>
          <w:u w:val="none"/>
          <w:lang w:val="en-US" w:eastAsia="zh-CN"/>
        </w:rPr>
      </w:pPr>
      <w:r>
        <w:rPr>
          <w:rFonts w:hint="eastAsia" w:ascii="仿宋_GB2312" w:hAnsi="仿宋_GB2312" w:eastAsia="仿宋_GB2312" w:cs="仿宋_GB2312"/>
          <w:snapToGrid/>
          <w:color w:val="000000"/>
          <w:kern w:val="0"/>
          <w:sz w:val="32"/>
          <w:szCs w:val="32"/>
          <w:lang w:val="en-US" w:eastAsia="zh-CN" w:bidi="ar"/>
        </w:rPr>
        <w:t>第</w:t>
      </w:r>
      <w:r>
        <w:rPr>
          <w:rFonts w:hint="eastAsia" w:ascii="仿宋_GB2312" w:hAnsi="仿宋_GB2312" w:eastAsia="仿宋_GB2312" w:cs="仿宋_GB2312"/>
          <w:snapToGrid/>
          <w:color w:val="000000"/>
          <w:kern w:val="0"/>
          <w:sz w:val="32"/>
          <w:szCs w:val="32"/>
          <w:lang w:eastAsia="zh-CN" w:bidi="ar"/>
        </w:rPr>
        <w:t>七十</w:t>
      </w:r>
      <w:r>
        <w:rPr>
          <w:rFonts w:hint="eastAsia" w:ascii="仿宋_GB2312" w:hAnsi="仿宋_GB2312" w:eastAsia="仿宋_GB2312" w:cs="仿宋_GB2312"/>
          <w:snapToGrid/>
          <w:color w:val="000000"/>
          <w:kern w:val="0"/>
          <w:sz w:val="32"/>
          <w:szCs w:val="32"/>
          <w:lang w:val="en-US" w:eastAsia="zh-CN" w:bidi="ar"/>
        </w:rPr>
        <w:t>三条 公用企事业单位、中介服务机构和行业协会商会</w:t>
      </w:r>
      <w:r>
        <w:rPr>
          <w:rFonts w:hint="eastAsia" w:ascii="仿宋_GB2312" w:hAnsi="仿宋_GB2312" w:eastAsia="仿宋_GB2312" w:cs="仿宋_GB2312"/>
          <w:snapToGrid/>
          <w:color w:val="000000"/>
          <w:kern w:val="0"/>
          <w:sz w:val="32"/>
          <w:szCs w:val="32"/>
          <w:lang w:val="zh-CN" w:eastAsia="zh-CN" w:bidi="ar"/>
        </w:rPr>
        <w:t>违反本条例规定</w:t>
      </w:r>
      <w:r>
        <w:rPr>
          <w:rFonts w:hint="eastAsia" w:ascii="仿宋_GB2312" w:hAnsi="仿宋_GB2312" w:eastAsia="仿宋_GB2312" w:cs="仿宋_GB2312"/>
          <w:snapToGrid/>
          <w:color w:val="000000"/>
          <w:kern w:val="0"/>
          <w:sz w:val="32"/>
          <w:szCs w:val="32"/>
          <w:lang w:val="en-US" w:eastAsia="zh-CN" w:bidi="ar"/>
        </w:rPr>
        <w:t>损害营商环境的，除依照有关法律、法规规定承担相应责任外，有关部门应当将其违法情况纳入信用信息公示系统和信用信息共享平台。</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0"/>
        <w:rPr>
          <w:rFonts w:hint="eastAsia" w:ascii="黑体" w:hAnsi="黑体" w:eastAsia="黑体" w:cs="黑体"/>
          <w:sz w:val="44"/>
          <w:szCs w:val="44"/>
          <w:u w:val="none"/>
          <w:lang w:val="en-US" w:eastAsia="zh-CN"/>
        </w:rPr>
      </w:pPr>
      <w:bookmarkStart w:id="8" w:name="_Toc28175"/>
      <w:r>
        <w:rPr>
          <w:rFonts w:hint="eastAsia" w:ascii="黑体" w:hAnsi="黑体" w:eastAsia="黑体" w:cs="黑体"/>
          <w:sz w:val="44"/>
          <w:szCs w:val="44"/>
          <w:u w:val="none"/>
          <w:lang w:val="en-US" w:eastAsia="zh-CN"/>
        </w:rPr>
        <w:t>第九章 附则</w:t>
      </w:r>
      <w:bookmarkEnd w:id="8"/>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textAlignment w:val="auto"/>
        <w:rPr>
          <w:rFonts w:hint="eastAsia" w:ascii="仿宋_GB2312" w:hAnsi="仿宋_GB2312" w:eastAsia="仿宋_GB2312" w:cs="仿宋_GB2312"/>
          <w:sz w:val="32"/>
          <w:szCs w:val="32"/>
          <w:u w:val="none"/>
          <w:lang w:val="en-US" w:eastAsia="zh-CN"/>
        </w:rPr>
      </w:pPr>
      <w:r>
        <w:rPr>
          <w:rFonts w:hint="eastAsia" w:ascii="黑体" w:hAnsi="黑体" w:eastAsia="黑体" w:cs="黑体"/>
          <w:sz w:val="44"/>
          <w:szCs w:val="44"/>
          <w:u w:val="none"/>
          <w:lang w:val="en-US" w:eastAsia="zh-CN"/>
        </w:rPr>
        <w:t xml:space="preserve">  </w:t>
      </w:r>
      <w:r>
        <w:rPr>
          <w:rFonts w:hint="eastAsia" w:ascii="仿宋_GB2312" w:hAnsi="仿宋_GB2312" w:eastAsia="仿宋_GB2312" w:cs="仿宋_GB2312"/>
          <w:sz w:val="32"/>
          <w:szCs w:val="32"/>
          <w:u w:val="none"/>
          <w:lang w:val="en-US" w:eastAsia="zh-CN"/>
        </w:rPr>
        <w:t xml:space="preserve">  第</w:t>
      </w:r>
      <w:r>
        <w:rPr>
          <w:rFonts w:hint="default" w:ascii="仿宋_GB2312" w:hAnsi="仿宋_GB2312" w:eastAsia="仿宋_GB2312" w:cs="仿宋_GB2312"/>
          <w:sz w:val="32"/>
          <w:szCs w:val="32"/>
          <w:u w:val="none"/>
          <w:lang w:eastAsia="zh-CN"/>
        </w:rPr>
        <w:t>七十</w:t>
      </w:r>
      <w:r>
        <w:rPr>
          <w:rFonts w:hint="eastAsia" w:ascii="仿宋_GB2312" w:hAnsi="仿宋_GB2312" w:eastAsia="仿宋_GB2312" w:cs="仿宋_GB2312"/>
          <w:sz w:val="32"/>
          <w:szCs w:val="32"/>
          <w:u w:val="none"/>
          <w:lang w:val="en-US" w:eastAsia="zh-CN"/>
        </w:rPr>
        <w:t>四条 本条例自202X年X月X日起施行。</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textAlignment w:val="auto"/>
        <w:rPr>
          <w:rFonts w:hint="default" w:ascii="仿宋_GB2312" w:hAnsi="仿宋_GB2312" w:eastAsia="仿宋_GB2312" w:cs="仿宋_GB2312"/>
          <w:sz w:val="32"/>
          <w:szCs w:val="32"/>
          <w:u w:val="none"/>
          <w:lang w:val="en-US" w:eastAsia="zh-CN"/>
        </w:rPr>
      </w:pPr>
    </w:p>
    <w:sectPr>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Times New Roman"/>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p>
    <w:pPr>
      <w:pStyle w:val="3"/>
    </w:pPr>
  </w:p>
  <w:p>
    <w:pPr>
      <w:pStyle w:val="3"/>
    </w:pPr>
  </w:p>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26</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3"/>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26</w:t>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9508EE"/>
    <w:multiLevelType w:val="singleLevel"/>
    <w:tmpl w:val="B09508EE"/>
    <w:lvl w:ilvl="0" w:tentative="0">
      <w:start w:val="8"/>
      <w:numFmt w:val="chineseCounting"/>
      <w:suff w:val="space"/>
      <w:lvlText w:val="第%1条"/>
      <w:lvlJc w:val="left"/>
      <w:rPr>
        <w:rFonts w:hint="eastAsia"/>
      </w:rPr>
    </w:lvl>
  </w:abstractNum>
  <w:abstractNum w:abstractNumId="1">
    <w:nsid w:val="FF67360C"/>
    <w:multiLevelType w:val="singleLevel"/>
    <w:tmpl w:val="FF67360C"/>
    <w:lvl w:ilvl="0" w:tentative="0">
      <w:start w:val="8"/>
      <w:numFmt w:val="chineseCounting"/>
      <w:suff w:val="space"/>
      <w:lvlText w:val="第%1章"/>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NiYTljNTBhOWZkMDFkMGNlZTg1NWRhYzMwMDhjYWIifQ=="/>
  </w:docVars>
  <w:rsids>
    <w:rsidRoot w:val="341521F9"/>
    <w:rsid w:val="001D4206"/>
    <w:rsid w:val="00C14B91"/>
    <w:rsid w:val="00DA5C53"/>
    <w:rsid w:val="00FC206D"/>
    <w:rsid w:val="012D0479"/>
    <w:rsid w:val="02590F58"/>
    <w:rsid w:val="02730F76"/>
    <w:rsid w:val="02864E28"/>
    <w:rsid w:val="046C36E8"/>
    <w:rsid w:val="056F3AAD"/>
    <w:rsid w:val="068B011B"/>
    <w:rsid w:val="06BC02D5"/>
    <w:rsid w:val="06C65FFC"/>
    <w:rsid w:val="07405118"/>
    <w:rsid w:val="07707311"/>
    <w:rsid w:val="0849203C"/>
    <w:rsid w:val="08B35707"/>
    <w:rsid w:val="095A5813"/>
    <w:rsid w:val="09C2727D"/>
    <w:rsid w:val="0A2C5771"/>
    <w:rsid w:val="0A3B59B5"/>
    <w:rsid w:val="0AE81FFE"/>
    <w:rsid w:val="0AF10769"/>
    <w:rsid w:val="0C2D3A23"/>
    <w:rsid w:val="0C6D3E1F"/>
    <w:rsid w:val="0CEA6C31"/>
    <w:rsid w:val="0D054058"/>
    <w:rsid w:val="0D4C1C87"/>
    <w:rsid w:val="0DC169D9"/>
    <w:rsid w:val="0E1E3623"/>
    <w:rsid w:val="0E4A4418"/>
    <w:rsid w:val="0EA63619"/>
    <w:rsid w:val="0EC56195"/>
    <w:rsid w:val="0F7F6DC0"/>
    <w:rsid w:val="105C6685"/>
    <w:rsid w:val="106F0166"/>
    <w:rsid w:val="10A83678"/>
    <w:rsid w:val="11005262"/>
    <w:rsid w:val="116E48C1"/>
    <w:rsid w:val="12902616"/>
    <w:rsid w:val="130F3E82"/>
    <w:rsid w:val="143A4F2F"/>
    <w:rsid w:val="143B2AF3"/>
    <w:rsid w:val="14883EEC"/>
    <w:rsid w:val="154D2A40"/>
    <w:rsid w:val="160752E5"/>
    <w:rsid w:val="16AD3796"/>
    <w:rsid w:val="16BE59A3"/>
    <w:rsid w:val="1750188B"/>
    <w:rsid w:val="1787048B"/>
    <w:rsid w:val="18D05E62"/>
    <w:rsid w:val="19897784"/>
    <w:rsid w:val="1A0F6516"/>
    <w:rsid w:val="1A420699"/>
    <w:rsid w:val="1B294F79"/>
    <w:rsid w:val="1B3A3308"/>
    <w:rsid w:val="1B742AD4"/>
    <w:rsid w:val="1C4E77C9"/>
    <w:rsid w:val="1C874A89"/>
    <w:rsid w:val="1D3F4455"/>
    <w:rsid w:val="1E036392"/>
    <w:rsid w:val="1F0F67F9"/>
    <w:rsid w:val="21110DAC"/>
    <w:rsid w:val="21B43E17"/>
    <w:rsid w:val="21EE66D0"/>
    <w:rsid w:val="220628DB"/>
    <w:rsid w:val="22873A35"/>
    <w:rsid w:val="22C644BC"/>
    <w:rsid w:val="23C95987"/>
    <w:rsid w:val="23D6008B"/>
    <w:rsid w:val="23D9206E"/>
    <w:rsid w:val="23DE58D7"/>
    <w:rsid w:val="2435301D"/>
    <w:rsid w:val="249266A8"/>
    <w:rsid w:val="24935E97"/>
    <w:rsid w:val="24A87C93"/>
    <w:rsid w:val="24CE27CF"/>
    <w:rsid w:val="25007ACF"/>
    <w:rsid w:val="253B28EB"/>
    <w:rsid w:val="253F6E94"/>
    <w:rsid w:val="25E116AE"/>
    <w:rsid w:val="26543C2E"/>
    <w:rsid w:val="27371138"/>
    <w:rsid w:val="2768273B"/>
    <w:rsid w:val="291D0C4F"/>
    <w:rsid w:val="29EC6874"/>
    <w:rsid w:val="2A1D4C7F"/>
    <w:rsid w:val="2AD510B6"/>
    <w:rsid w:val="2AF552B4"/>
    <w:rsid w:val="2B2A31B0"/>
    <w:rsid w:val="2C50752D"/>
    <w:rsid w:val="2D0143E4"/>
    <w:rsid w:val="2D085772"/>
    <w:rsid w:val="2EA27501"/>
    <w:rsid w:val="2EC50665"/>
    <w:rsid w:val="2EFE2B3C"/>
    <w:rsid w:val="2FAD2601"/>
    <w:rsid w:val="2FE029D7"/>
    <w:rsid w:val="2FE83639"/>
    <w:rsid w:val="30403475"/>
    <w:rsid w:val="31540F86"/>
    <w:rsid w:val="33C37040"/>
    <w:rsid w:val="341521F9"/>
    <w:rsid w:val="343B467F"/>
    <w:rsid w:val="351D1FD7"/>
    <w:rsid w:val="35FE5964"/>
    <w:rsid w:val="360B1E2F"/>
    <w:rsid w:val="36DE12F2"/>
    <w:rsid w:val="37585548"/>
    <w:rsid w:val="38787C50"/>
    <w:rsid w:val="387DE26A"/>
    <w:rsid w:val="38997BC6"/>
    <w:rsid w:val="39AE6463"/>
    <w:rsid w:val="39BA28D2"/>
    <w:rsid w:val="39EF7CC9"/>
    <w:rsid w:val="39F23A32"/>
    <w:rsid w:val="3A63768F"/>
    <w:rsid w:val="3B5F50F7"/>
    <w:rsid w:val="3C6B7ACC"/>
    <w:rsid w:val="3CF03B2D"/>
    <w:rsid w:val="3D0329CE"/>
    <w:rsid w:val="3D6528F4"/>
    <w:rsid w:val="3D672041"/>
    <w:rsid w:val="3D9A41C5"/>
    <w:rsid w:val="3DA23079"/>
    <w:rsid w:val="3DFF98EF"/>
    <w:rsid w:val="3E4D7489"/>
    <w:rsid w:val="3F035D9A"/>
    <w:rsid w:val="3F95733A"/>
    <w:rsid w:val="3FFBB6A1"/>
    <w:rsid w:val="40210488"/>
    <w:rsid w:val="40416B7A"/>
    <w:rsid w:val="40BE466E"/>
    <w:rsid w:val="40C33A32"/>
    <w:rsid w:val="416D7A0B"/>
    <w:rsid w:val="41CA2B9F"/>
    <w:rsid w:val="431762B8"/>
    <w:rsid w:val="436314FD"/>
    <w:rsid w:val="439711A6"/>
    <w:rsid w:val="44775260"/>
    <w:rsid w:val="44FFEE15"/>
    <w:rsid w:val="45611A6C"/>
    <w:rsid w:val="469B0FAE"/>
    <w:rsid w:val="46F30496"/>
    <w:rsid w:val="482F57CC"/>
    <w:rsid w:val="48A4239B"/>
    <w:rsid w:val="49CF51F6"/>
    <w:rsid w:val="49D11ECD"/>
    <w:rsid w:val="4A070E34"/>
    <w:rsid w:val="4B4E2A92"/>
    <w:rsid w:val="4BDB2578"/>
    <w:rsid w:val="4BDB78EF"/>
    <w:rsid w:val="4CFB6302"/>
    <w:rsid w:val="4DF821F1"/>
    <w:rsid w:val="4E8A3DE2"/>
    <w:rsid w:val="4FC21359"/>
    <w:rsid w:val="503E4E84"/>
    <w:rsid w:val="51C413B8"/>
    <w:rsid w:val="51C4585C"/>
    <w:rsid w:val="541A5C08"/>
    <w:rsid w:val="54D9161F"/>
    <w:rsid w:val="54E67898"/>
    <w:rsid w:val="550348EE"/>
    <w:rsid w:val="55466588"/>
    <w:rsid w:val="55884597"/>
    <w:rsid w:val="57202DF0"/>
    <w:rsid w:val="57835CB8"/>
    <w:rsid w:val="57EA58F1"/>
    <w:rsid w:val="584E40D2"/>
    <w:rsid w:val="58597EAB"/>
    <w:rsid w:val="598F6750"/>
    <w:rsid w:val="5AA63D51"/>
    <w:rsid w:val="5B1D7D21"/>
    <w:rsid w:val="5B4E6197"/>
    <w:rsid w:val="5B8F2A37"/>
    <w:rsid w:val="5B94004E"/>
    <w:rsid w:val="5C86208C"/>
    <w:rsid w:val="5CCC3817"/>
    <w:rsid w:val="5D213B63"/>
    <w:rsid w:val="5D3E4715"/>
    <w:rsid w:val="5E070FAB"/>
    <w:rsid w:val="5EB581AF"/>
    <w:rsid w:val="5F1C0A86"/>
    <w:rsid w:val="5F4E49B7"/>
    <w:rsid w:val="5F4F0E5B"/>
    <w:rsid w:val="5F8B1768"/>
    <w:rsid w:val="5F926F9A"/>
    <w:rsid w:val="60025ECE"/>
    <w:rsid w:val="606F2E37"/>
    <w:rsid w:val="61E138C1"/>
    <w:rsid w:val="621B3277"/>
    <w:rsid w:val="622D6B06"/>
    <w:rsid w:val="63974B7F"/>
    <w:rsid w:val="63F75454"/>
    <w:rsid w:val="645854D1"/>
    <w:rsid w:val="649E3CEB"/>
    <w:rsid w:val="659A2052"/>
    <w:rsid w:val="65CD2ADA"/>
    <w:rsid w:val="65E550C0"/>
    <w:rsid w:val="667733BA"/>
    <w:rsid w:val="667C1E0A"/>
    <w:rsid w:val="676E7B4B"/>
    <w:rsid w:val="67C1666E"/>
    <w:rsid w:val="67EB3118"/>
    <w:rsid w:val="68A8338A"/>
    <w:rsid w:val="68E00D76"/>
    <w:rsid w:val="68EC0C84"/>
    <w:rsid w:val="696F3EA8"/>
    <w:rsid w:val="69FC7EDA"/>
    <w:rsid w:val="6A33620D"/>
    <w:rsid w:val="6A570BC4"/>
    <w:rsid w:val="6BB12556"/>
    <w:rsid w:val="6BC93D43"/>
    <w:rsid w:val="6C1A00FB"/>
    <w:rsid w:val="6C3663D0"/>
    <w:rsid w:val="6C9F6852"/>
    <w:rsid w:val="6D3E2288"/>
    <w:rsid w:val="6D8819DC"/>
    <w:rsid w:val="6DC01176"/>
    <w:rsid w:val="6DCA3DA3"/>
    <w:rsid w:val="6EEB6B9E"/>
    <w:rsid w:val="6F241291"/>
    <w:rsid w:val="6F2F0361"/>
    <w:rsid w:val="6F7D0262"/>
    <w:rsid w:val="6FCA008A"/>
    <w:rsid w:val="6FD1384B"/>
    <w:rsid w:val="6FE13A1E"/>
    <w:rsid w:val="70180DF5"/>
    <w:rsid w:val="711E609E"/>
    <w:rsid w:val="72127AC6"/>
    <w:rsid w:val="72604CD6"/>
    <w:rsid w:val="72800ED4"/>
    <w:rsid w:val="729130E1"/>
    <w:rsid w:val="72E871A5"/>
    <w:rsid w:val="733E63E7"/>
    <w:rsid w:val="73B07597"/>
    <w:rsid w:val="74324450"/>
    <w:rsid w:val="74A97546"/>
    <w:rsid w:val="74AA2C8D"/>
    <w:rsid w:val="761A0B1E"/>
    <w:rsid w:val="766308F1"/>
    <w:rsid w:val="76E934EC"/>
    <w:rsid w:val="76F6C34C"/>
    <w:rsid w:val="77B138C5"/>
    <w:rsid w:val="780E2ADE"/>
    <w:rsid w:val="78CA10FB"/>
    <w:rsid w:val="78DD0E2E"/>
    <w:rsid w:val="78E0447A"/>
    <w:rsid w:val="79112886"/>
    <w:rsid w:val="79B06543"/>
    <w:rsid w:val="79F63466"/>
    <w:rsid w:val="7A951295"/>
    <w:rsid w:val="7B0C77A9"/>
    <w:rsid w:val="7B57837B"/>
    <w:rsid w:val="7B8B5E3C"/>
    <w:rsid w:val="7BF344C5"/>
    <w:rsid w:val="7BFF3B46"/>
    <w:rsid w:val="7C2B3C5E"/>
    <w:rsid w:val="7D2C7C8E"/>
    <w:rsid w:val="7D657644"/>
    <w:rsid w:val="7E386B07"/>
    <w:rsid w:val="7EE03426"/>
    <w:rsid w:val="7EE512B2"/>
    <w:rsid w:val="7F0A04A3"/>
    <w:rsid w:val="7F462ABD"/>
    <w:rsid w:val="7F4A6AF1"/>
    <w:rsid w:val="7F6C3EBD"/>
    <w:rsid w:val="9CAE9682"/>
    <w:rsid w:val="B5F62746"/>
    <w:rsid w:val="BA1D2912"/>
    <w:rsid w:val="BF7CB359"/>
    <w:rsid w:val="DA47F57B"/>
    <w:rsid w:val="DFD7FE0A"/>
    <w:rsid w:val="DFFF2EAF"/>
    <w:rsid w:val="E7F5B9DF"/>
    <w:rsid w:val="EA6695A7"/>
    <w:rsid w:val="F3BC12D8"/>
    <w:rsid w:val="F4DFF5BE"/>
    <w:rsid w:val="F6E580DA"/>
    <w:rsid w:val="F7AB24BB"/>
    <w:rsid w:val="F7CFE312"/>
    <w:rsid w:val="F7FD7B36"/>
    <w:rsid w:val="F9740289"/>
    <w:rsid w:val="F9DF69BE"/>
    <w:rsid w:val="FDF6AEA2"/>
    <w:rsid w:val="FEBEB4DF"/>
    <w:rsid w:val="FFFE324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spacing w:before="240" w:after="60"/>
      <w:outlineLvl w:val="0"/>
    </w:pPr>
    <w:rPr>
      <w:rFonts w:ascii="Arial" w:hAnsi="Arial" w:cs="Arial"/>
      <w:b/>
      <w:bCs/>
      <w:kern w:val="32"/>
      <w:sz w:val="32"/>
      <w:szCs w:val="32"/>
    </w:rPr>
  </w:style>
  <w:style w:type="character" w:default="1" w:styleId="6">
    <w:name w:val="Default Paragraph Font"/>
    <w:semiHidden/>
    <w:qFormat/>
    <w:uiPriority w:val="0"/>
  </w:style>
  <w:style w:type="table" w:default="1" w:styleId="5">
    <w:name w:val="Normal Table"/>
    <w:semiHidden/>
    <w:qFormat/>
    <w:uiPriority w:val="0"/>
    <w:pPr>
      <w:keepNext w:val="0"/>
      <w:keepLines w:val="0"/>
      <w:widowControl/>
      <w:suppressLineNumbers w:val="0"/>
      <w:spacing w:before="0" w:beforeAutospacing="0" w:after="200" w:afterAutospacing="0" w:line="220" w:lineRule="atLeast"/>
      <w:ind w:left="0" w:right="0"/>
    </w:pPr>
    <w:rPr>
      <w:rFonts w:ascii="Calibri" w:hAnsi="Calibri" w:eastAsia="宋体" w:cs="sans-serif"/>
      <w:kern w:val="2"/>
      <w:sz w:val="21"/>
      <w:szCs w:val="22"/>
    </w:rPr>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7">
    <w:name w:val="a_contentlink_link"/>
    <w:basedOn w:val="6"/>
    <w:qFormat/>
    <w:uiPriority w:val="0"/>
    <w:rPr>
      <w:rFonts w:ascii="微软雅黑" w:hAnsi="微软雅黑" w:eastAsia="微软雅黑" w:cs="微软雅黑"/>
      <w:color w:val="0000FF"/>
      <w:sz w:val="24"/>
      <w:szCs w:val="24"/>
    </w:rPr>
  </w:style>
  <w:style w:type="paragraph" w:customStyle="1" w:styleId="8">
    <w:name w:val="faguicon_p"/>
    <w:basedOn w:val="1"/>
    <w:qFormat/>
    <w:uiPriority w:val="0"/>
    <w:pPr>
      <w:ind w:firstLine="480"/>
    </w:pPr>
    <w:rPr>
      <w:rFonts w:ascii="微软雅黑" w:hAnsi="微软雅黑" w:eastAsia="微软雅黑" w:cs="微软雅黑"/>
    </w:rPr>
  </w:style>
  <w:style w:type="character" w:customStyle="1" w:styleId="9">
    <w:name w:val="any"/>
    <w:basedOn w:val="6"/>
    <w:qFormat/>
    <w:uiPriority w:val="0"/>
  </w:style>
  <w:style w:type="paragraph" w:customStyle="1" w:styleId="10">
    <w:name w:val="WPSOffice手动目录 1"/>
    <w:qFormat/>
    <w:uiPriority w:val="0"/>
    <w:pPr>
      <w:ind w:leftChars="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27</Pages>
  <Words>10938</Words>
  <Characters>10951</Characters>
  <Lines>1</Lines>
  <Paragraphs>1</Paragraphs>
  <TotalTime>2</TotalTime>
  <ScaleCrop>false</ScaleCrop>
  <LinksUpToDate>false</LinksUpToDate>
  <CharactersWithSpaces>11139</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2022-05-18T13:44:00Z</dcterms:created>
  <dc:creator>横条文</dc:creator>
  <cp:lastModifiedBy>黄文</cp:lastModifiedBy>
  <dcterms:modified xsi:type="dcterms:W3CDTF">2022-06-24T03:55:24Z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979C7A2D8F174B7492037CAEC99EA386</vt:lpwstr>
  </property>
</Properties>
</file>