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bidi="ar"/>
        </w:rPr>
      </w:pPr>
      <w:r>
        <w:rPr>
          <w:rFonts w:hint="eastAsia" w:ascii="方正小标宋简体" w:hAnsi="方正小标宋简体" w:eastAsia="方正小标宋简体" w:cs="方正小标宋简体"/>
          <w:b w:val="0"/>
          <w:bCs w:val="0"/>
          <w:color w:val="auto"/>
          <w:kern w:val="0"/>
          <w:sz w:val="44"/>
          <w:szCs w:val="44"/>
          <w:lang w:val="en-US" w:eastAsia="zh-CN" w:bidi="ar"/>
        </w:rPr>
        <w:t>关于《济宁市优化营商环境条例（草案</w:t>
      </w:r>
    </w:p>
    <w:p>
      <w:pPr>
        <w:keepNext w:val="0"/>
        <w:keepLines w:val="0"/>
        <w:pageBreakBefore w:val="0"/>
        <w:widowControl w:val="0"/>
        <w:suppressLineNumbers w:val="0"/>
        <w:kinsoku/>
        <w:wordWrap/>
        <w:overflowPunct/>
        <w:topLinePunct w:val="0"/>
        <w:autoSpaceDE/>
        <w:autoSpaceDN/>
        <w:bidi w:val="0"/>
        <w:adjustRightInd/>
        <w:snapToGrid/>
        <w:spacing w:line="570" w:lineRule="exact"/>
        <w:jc w:val="center"/>
        <w:textAlignment w:val="auto"/>
        <w:rPr>
          <w:rFonts w:hint="eastAsia" w:ascii="方正小标宋简体" w:hAnsi="方正小标宋简体" w:eastAsia="方正小标宋简体" w:cs="方正小标宋简体"/>
          <w:b w:val="0"/>
          <w:bCs w:val="0"/>
          <w:color w:val="auto"/>
          <w:kern w:val="0"/>
          <w:sz w:val="44"/>
          <w:szCs w:val="44"/>
          <w:lang w:val="en-US" w:eastAsia="zh-CN" w:bidi="ar"/>
        </w:rPr>
      </w:pPr>
      <w:r>
        <w:rPr>
          <w:rFonts w:hint="eastAsia" w:ascii="方正小标宋简体" w:hAnsi="方正小标宋简体" w:eastAsia="方正小标宋简体" w:cs="方正小标宋简体"/>
          <w:b w:val="0"/>
          <w:bCs w:val="0"/>
          <w:color w:val="auto"/>
          <w:kern w:val="0"/>
          <w:sz w:val="44"/>
          <w:szCs w:val="44"/>
          <w:lang w:val="en-US" w:eastAsia="zh-CN" w:bidi="ar"/>
        </w:rPr>
        <w:t>征求意见稿）》的说明</w:t>
      </w:r>
    </w:p>
    <w:p>
      <w:pPr>
        <w:pStyle w:val="2"/>
        <w:keepNext w:val="0"/>
        <w:keepLines w:val="0"/>
        <w:pageBreakBefore w:val="0"/>
        <w:widowControl w:val="0"/>
        <w:kinsoku/>
        <w:wordWrap/>
        <w:overflowPunct/>
        <w:topLinePunct w:val="0"/>
        <w:autoSpaceDE/>
        <w:autoSpaceDN/>
        <w:bidi w:val="0"/>
        <w:spacing w:line="570" w:lineRule="exact"/>
        <w:textAlignment w:val="auto"/>
        <w:rPr>
          <w:rFonts w:hint="eastAsia" w:ascii="方正仿宋简体" w:hAnsi="方正仿宋简体" w:eastAsia="方正仿宋简体" w:cs="方正仿宋简体"/>
          <w:b w:val="0"/>
          <w:bCs w:val="0"/>
          <w:color w:val="auto"/>
          <w:sz w:val="32"/>
          <w:szCs w:val="32"/>
          <w:lang w:val="en-US"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firstLine="640" w:firstLineChars="200"/>
        <w:textAlignment w:val="auto"/>
        <w:rPr>
          <w:rFonts w:hint="eastAsia" w:ascii="方正黑体简体" w:hAnsi="方正黑体简体" w:eastAsia="方正黑体简体" w:cs="方正黑体简体"/>
          <w:b w:val="0"/>
          <w:bCs w:val="0"/>
          <w:color w:val="auto"/>
          <w:kern w:val="0"/>
          <w:sz w:val="32"/>
          <w:szCs w:val="32"/>
          <w:lang w:val="en-US" w:eastAsia="zh-CN" w:bidi="ar"/>
        </w:rPr>
      </w:pPr>
      <w:r>
        <w:rPr>
          <w:rFonts w:hint="eastAsia" w:ascii="方正黑体简体" w:hAnsi="方正黑体简体" w:eastAsia="方正黑体简体" w:cs="方正黑体简体"/>
          <w:b w:val="0"/>
          <w:bCs w:val="0"/>
          <w:color w:val="auto"/>
          <w:kern w:val="0"/>
          <w:sz w:val="32"/>
          <w:szCs w:val="32"/>
          <w:lang w:val="en-US" w:eastAsia="zh-CN" w:bidi="ar"/>
        </w:rPr>
        <w:t>一、</w:t>
      </w:r>
      <w:r>
        <w:rPr>
          <w:rFonts w:hint="eastAsia" w:ascii="方正黑体简体" w:hAnsi="方正黑体简体" w:eastAsia="方正黑体简体" w:cs="方正黑体简体"/>
          <w:b w:val="0"/>
          <w:bCs w:val="0"/>
          <w:color w:val="000000"/>
          <w:kern w:val="0"/>
          <w:sz w:val="32"/>
          <w:szCs w:val="32"/>
        </w:rPr>
        <w:t>《</w:t>
      </w:r>
      <w:r>
        <w:rPr>
          <w:rFonts w:hint="eastAsia" w:ascii="方正黑体简体" w:hAnsi="方正黑体简体" w:eastAsia="方正黑体简体" w:cs="方正黑体简体"/>
          <w:b w:val="0"/>
          <w:bCs w:val="0"/>
          <w:color w:val="000000"/>
          <w:kern w:val="0"/>
          <w:sz w:val="32"/>
          <w:szCs w:val="32"/>
          <w:lang w:eastAsia="zh-CN"/>
        </w:rPr>
        <w:t>条例</w:t>
      </w:r>
      <w:r>
        <w:rPr>
          <w:rFonts w:hint="eastAsia" w:ascii="方正黑体简体" w:hAnsi="方正黑体简体" w:eastAsia="方正黑体简体" w:cs="方正黑体简体"/>
          <w:b w:val="0"/>
          <w:bCs w:val="0"/>
          <w:color w:val="000000"/>
          <w:kern w:val="0"/>
          <w:sz w:val="32"/>
          <w:szCs w:val="32"/>
        </w:rPr>
        <w:t>》</w:t>
      </w:r>
      <w:r>
        <w:rPr>
          <w:rFonts w:hint="eastAsia" w:ascii="方正黑体简体" w:hAnsi="方正黑体简体" w:eastAsia="方正黑体简体" w:cs="方正黑体简体"/>
          <w:b w:val="0"/>
          <w:bCs w:val="0"/>
          <w:color w:val="000000"/>
          <w:sz w:val="32"/>
          <w:szCs w:val="32"/>
          <w:shd w:val="clear" w:color="auto" w:fill="FFFFFF"/>
        </w:rPr>
        <w:t>出台</w:t>
      </w:r>
      <w:r>
        <w:rPr>
          <w:rFonts w:hint="eastAsia" w:ascii="方正黑体简体" w:hAnsi="方正黑体简体" w:eastAsia="方正黑体简体" w:cs="方正黑体简体"/>
          <w:b w:val="0"/>
          <w:bCs w:val="0"/>
          <w:color w:val="000000"/>
          <w:kern w:val="0"/>
          <w:sz w:val="32"/>
          <w:szCs w:val="32"/>
        </w:rPr>
        <w:t>的必要性</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firstLine="640" w:firstLineChars="200"/>
        <w:textAlignment w:val="auto"/>
        <w:rPr>
          <w:rFonts w:hint="eastAsia" w:ascii="方正仿宋简体" w:hAnsi="方正仿宋简体" w:eastAsia="方正仿宋简体" w:cs="方正仿宋简体"/>
          <w:b w:val="0"/>
          <w:bCs w:val="0"/>
          <w:color w:val="auto"/>
          <w:kern w:val="0"/>
          <w:sz w:val="32"/>
          <w:szCs w:val="32"/>
          <w:lang w:val="en-US" w:eastAsia="zh-CN" w:bidi="ar"/>
        </w:rPr>
      </w:pPr>
      <w:r>
        <w:rPr>
          <w:rFonts w:hint="eastAsia" w:ascii="方正仿宋简体" w:hAnsi="方正仿宋简体" w:eastAsia="方正仿宋简体" w:cs="方正仿宋简体"/>
          <w:b w:val="0"/>
          <w:bCs w:val="0"/>
          <w:color w:val="auto"/>
          <w:kern w:val="0"/>
          <w:sz w:val="32"/>
          <w:szCs w:val="32"/>
          <w:lang w:val="en-US" w:eastAsia="zh-CN" w:bidi="ar"/>
        </w:rPr>
        <w:t>法治是最好的营商环境，优化营商环境必须运用法治思维和法治方式，强化制度建设和制度执行，用法治来规范政府和市场的边界，以法治打通制约营商便利化的堵点，在法治框架内调整各类市场主体的利益关系。党中央、国务院和省委、省政府围绕深化“放管服”改革作出了一系列重大决策，推动政府职能转变，激发市场活力，推进经济社会高质量发展。近年来，市委、市政府高度重视“放管服”改革和优化营商环境工作，出台了一系列有针对性的政策措施，破解了一系列关键难点问题，迫切需要将这些政策、经验、做法上升为法规制度，保障各项政策措施的稳定性与连续性，使其进一步系统化、规范化。制定一部专门规范优化营商环境工作的地方性法规，对于夯实优化营商环境的法治土壤，为我市各类所有制经济健康发展提供法治保障具有重要意义。近年来，我市优化营商环境工作改革举措成效明显，无论从国评还是省评名次都位于前列，但对标国际一流营商环境和国内广东、江苏、浙江等先进地区水平仍然存在一定差距，在行政审批、数据共享等方面仍存在一定问题。</w:t>
      </w:r>
      <w:r>
        <w:rPr>
          <w:rFonts w:hint="eastAsia" w:ascii="方正仿宋简体" w:hAnsi="方正仿宋简体" w:eastAsia="方正仿宋简体" w:cs="方正仿宋简体"/>
          <w:b w:val="0"/>
          <w:bCs w:val="0"/>
          <w:color w:val="auto"/>
          <w:sz w:val="32"/>
          <w:szCs w:val="32"/>
        </w:rPr>
        <w:t>制定《</w:t>
      </w:r>
      <w:r>
        <w:rPr>
          <w:rFonts w:hint="eastAsia" w:ascii="方正仿宋简体" w:hAnsi="方正仿宋简体" w:eastAsia="方正仿宋简体" w:cs="方正仿宋简体"/>
          <w:b w:val="0"/>
          <w:bCs w:val="0"/>
          <w:color w:val="auto"/>
          <w:sz w:val="32"/>
          <w:szCs w:val="32"/>
          <w:lang w:val="en-US" w:eastAsia="zh-CN"/>
        </w:rPr>
        <w:t>济宁</w:t>
      </w:r>
      <w:r>
        <w:rPr>
          <w:rFonts w:hint="eastAsia" w:ascii="方正仿宋简体" w:hAnsi="方正仿宋简体" w:eastAsia="方正仿宋简体" w:cs="方正仿宋简体"/>
          <w:b w:val="0"/>
          <w:bCs w:val="0"/>
          <w:color w:val="auto"/>
          <w:sz w:val="32"/>
          <w:szCs w:val="32"/>
        </w:rPr>
        <w:t>市优化营商环境条例》正是以法治方式推动优化营商环境的具体体现</w:t>
      </w:r>
      <w:r>
        <w:rPr>
          <w:rFonts w:hint="eastAsia" w:ascii="方正仿宋简体" w:hAnsi="方正仿宋简体" w:eastAsia="方正仿宋简体" w:cs="方正仿宋简体"/>
          <w:b w:val="0"/>
          <w:bCs w:val="0"/>
          <w:color w:val="auto"/>
          <w:sz w:val="32"/>
          <w:szCs w:val="32"/>
          <w:lang w:eastAsia="zh-CN"/>
        </w:rPr>
        <w:t>，</w:t>
      </w:r>
      <w:r>
        <w:rPr>
          <w:rFonts w:hint="eastAsia" w:ascii="方正仿宋简体" w:hAnsi="方正仿宋简体" w:eastAsia="方正仿宋简体" w:cs="方正仿宋简体"/>
          <w:b w:val="0"/>
          <w:bCs w:val="0"/>
          <w:color w:val="auto"/>
          <w:kern w:val="0"/>
          <w:sz w:val="32"/>
          <w:szCs w:val="32"/>
          <w:lang w:val="en-US" w:eastAsia="zh-CN" w:bidi="ar"/>
        </w:rPr>
        <w:t>有利于保护市场主体权益、维护公平竞争的市场环境，进一步增强市场主体信心、激发市场主体活力，成为济宁高质量发展的重要保障。</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firstLine="640" w:firstLineChars="200"/>
        <w:textAlignment w:val="auto"/>
        <w:rPr>
          <w:rFonts w:hint="eastAsia" w:ascii="方正黑体简体" w:hAnsi="方正黑体简体" w:eastAsia="方正黑体简体" w:cs="方正黑体简体"/>
          <w:b w:val="0"/>
          <w:bCs w:val="0"/>
          <w:color w:val="000000"/>
          <w:kern w:val="0"/>
          <w:sz w:val="32"/>
          <w:szCs w:val="32"/>
          <w:lang w:val="en-US" w:eastAsia="zh-CN"/>
        </w:rPr>
      </w:pPr>
      <w:r>
        <w:rPr>
          <w:rFonts w:hint="eastAsia" w:ascii="方正黑体简体" w:hAnsi="方正黑体简体" w:eastAsia="方正黑体简体" w:cs="方正黑体简体"/>
          <w:b w:val="0"/>
          <w:bCs w:val="0"/>
          <w:color w:val="000000"/>
          <w:kern w:val="0"/>
          <w:sz w:val="32"/>
          <w:szCs w:val="32"/>
          <w:lang w:val="en-US" w:eastAsia="zh-CN"/>
        </w:rPr>
        <w:t>二、起草过程</w:t>
      </w:r>
    </w:p>
    <w:p>
      <w:pPr>
        <w:keepNext w:val="0"/>
        <w:keepLines w:val="0"/>
        <w:pageBreakBefore w:val="0"/>
        <w:widowControl w:val="0"/>
        <w:suppressLineNumbers w:val="0"/>
        <w:kinsoku/>
        <w:wordWrap/>
        <w:overflowPunct/>
        <w:topLinePunct w:val="0"/>
        <w:autoSpaceDE/>
        <w:autoSpaceDN/>
        <w:bidi w:val="0"/>
        <w:adjustRightInd/>
        <w:snapToGrid/>
        <w:spacing w:line="570" w:lineRule="exact"/>
        <w:ind w:firstLine="640" w:firstLineChars="200"/>
        <w:jc w:val="left"/>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kern w:val="0"/>
          <w:sz w:val="32"/>
          <w:szCs w:val="32"/>
          <w:lang w:val="en-US" w:eastAsia="zh-CN" w:bidi="ar"/>
        </w:rPr>
        <w:t>4月6日，市行政审批服务局邀请市人大法工委、市人大财经委、市政府办公室、市发改委、市司法局、市市场监督管理局等召开座谈会，制定详细的立法工作实施方案、起草阶段推进时间清单，明确各项工作责任与时间节点，列出具体的工作计划，并确定采取委托起草的方式开展起草工作。4月下旬，对国内先进地区优化营商环境开展立法学习调研，在认真学习借鉴先进地市经验的基础上，初步梳理出草案框架和拟解决的主要问题。5月中旬，草案初稿完成。5月下旬，邀请市人大法工委、市司法局、市市场监管局等部门就草案广泛征求意见建议，并对初稿进行修改完善。5月底，在系统内征求意见，并组织部门会签。</w:t>
      </w:r>
      <w:bookmarkStart w:id="0" w:name="_GoBack"/>
      <w:bookmarkEnd w:id="0"/>
      <w:r>
        <w:rPr>
          <w:rFonts w:hint="eastAsia" w:ascii="方正仿宋简体" w:hAnsi="方正仿宋简体" w:eastAsia="方正仿宋简体" w:cs="方正仿宋简体"/>
          <w:b w:val="0"/>
          <w:bCs w:val="0"/>
          <w:color w:val="auto"/>
          <w:kern w:val="0"/>
          <w:sz w:val="32"/>
          <w:szCs w:val="32"/>
          <w:lang w:val="en-US" w:eastAsia="zh-CN" w:bidi="ar"/>
        </w:rPr>
        <w:t>6月上旬，对草案初稿进行第三轮修改，形成草案</w:t>
      </w:r>
      <w:r>
        <w:rPr>
          <w:rFonts w:hint="eastAsia" w:ascii="方正仿宋简体" w:hAnsi="方正仿宋简体" w:eastAsia="方正仿宋简体" w:cs="方正仿宋简体"/>
          <w:b w:val="0"/>
          <w:bCs w:val="0"/>
          <w:color w:val="auto"/>
          <w:sz w:val="32"/>
          <w:szCs w:val="32"/>
        </w:rPr>
        <w:t>征求意见稿</w:t>
      </w:r>
      <w:r>
        <w:rPr>
          <w:rFonts w:hint="eastAsia" w:ascii="方正仿宋简体" w:hAnsi="方正仿宋简体" w:eastAsia="方正仿宋简体" w:cs="方正仿宋简体"/>
          <w:b w:val="0"/>
          <w:bCs w:val="0"/>
          <w:color w:val="auto"/>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line="570" w:lineRule="exact"/>
        <w:ind w:firstLine="640" w:firstLineChars="200"/>
        <w:textAlignment w:val="auto"/>
        <w:rPr>
          <w:rFonts w:hint="eastAsia" w:ascii="方正黑体简体" w:hAnsi="方正黑体简体" w:eastAsia="方正黑体简体" w:cs="方正黑体简体"/>
          <w:b w:val="0"/>
          <w:bCs w:val="0"/>
          <w:color w:val="000000"/>
          <w:kern w:val="0"/>
          <w:sz w:val="32"/>
          <w:szCs w:val="32"/>
          <w:lang w:val="en-US" w:eastAsia="zh-CN"/>
        </w:rPr>
      </w:pPr>
      <w:r>
        <w:rPr>
          <w:rFonts w:hint="eastAsia" w:ascii="方正黑体简体" w:hAnsi="方正黑体简体" w:eastAsia="方正黑体简体" w:cs="方正黑体简体"/>
          <w:b w:val="0"/>
          <w:bCs w:val="0"/>
          <w:color w:val="000000"/>
          <w:kern w:val="0"/>
          <w:sz w:val="32"/>
          <w:szCs w:val="32"/>
          <w:lang w:val="en-US" w:eastAsia="zh-CN"/>
        </w:rPr>
        <w:t>三、主要内容</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《济</w:t>
      </w:r>
      <w:r>
        <w:rPr>
          <w:rFonts w:hint="eastAsia" w:ascii="方正仿宋简体" w:hAnsi="方正仿宋简体" w:eastAsia="方正仿宋简体" w:cs="方正仿宋简体"/>
          <w:b w:val="0"/>
          <w:bCs w:val="0"/>
          <w:color w:val="auto"/>
          <w:sz w:val="32"/>
          <w:szCs w:val="32"/>
          <w:lang w:val="en-US" w:eastAsia="zh-CN"/>
        </w:rPr>
        <w:t>宁</w:t>
      </w:r>
      <w:r>
        <w:rPr>
          <w:rFonts w:hint="eastAsia" w:ascii="方正仿宋简体" w:hAnsi="方正仿宋简体" w:eastAsia="方正仿宋简体" w:cs="方正仿宋简体"/>
          <w:b w:val="0"/>
          <w:bCs w:val="0"/>
          <w:color w:val="auto"/>
          <w:sz w:val="32"/>
          <w:szCs w:val="32"/>
        </w:rPr>
        <w:t>市优化营商环境条例（草案征求意见稿）》分为总则、市场</w:t>
      </w:r>
      <w:r>
        <w:rPr>
          <w:rFonts w:hint="eastAsia" w:ascii="方正仿宋简体" w:hAnsi="方正仿宋简体" w:eastAsia="方正仿宋简体" w:cs="方正仿宋简体"/>
          <w:b w:val="0"/>
          <w:bCs w:val="0"/>
          <w:color w:val="auto"/>
          <w:sz w:val="32"/>
          <w:szCs w:val="32"/>
          <w:lang w:val="en-US" w:eastAsia="zh-CN"/>
        </w:rPr>
        <w:t>主体保护与培育</w:t>
      </w:r>
      <w:r>
        <w:rPr>
          <w:rFonts w:hint="eastAsia" w:ascii="方正仿宋简体" w:hAnsi="方正仿宋简体" w:eastAsia="方正仿宋简体" w:cs="方正仿宋简体"/>
          <w:b w:val="0"/>
          <w:bCs w:val="0"/>
          <w:color w:val="auto"/>
          <w:sz w:val="32"/>
          <w:szCs w:val="32"/>
        </w:rPr>
        <w:t>、</w:t>
      </w:r>
      <w:r>
        <w:rPr>
          <w:rFonts w:hint="eastAsia" w:ascii="方正仿宋简体" w:hAnsi="方正仿宋简体" w:eastAsia="方正仿宋简体" w:cs="方正仿宋简体"/>
          <w:b w:val="0"/>
          <w:bCs w:val="0"/>
          <w:color w:val="auto"/>
          <w:sz w:val="32"/>
          <w:szCs w:val="32"/>
          <w:lang w:val="en-US" w:eastAsia="zh-CN"/>
        </w:rPr>
        <w:t>市场环境、政务服务</w:t>
      </w:r>
      <w:r>
        <w:rPr>
          <w:rFonts w:hint="eastAsia" w:ascii="方正仿宋简体" w:hAnsi="方正仿宋简体" w:eastAsia="方正仿宋简体" w:cs="方正仿宋简体"/>
          <w:b w:val="0"/>
          <w:bCs w:val="0"/>
          <w:color w:val="auto"/>
          <w:sz w:val="32"/>
          <w:szCs w:val="32"/>
        </w:rPr>
        <w:t>、</w:t>
      </w:r>
      <w:r>
        <w:rPr>
          <w:rFonts w:hint="eastAsia" w:ascii="方正仿宋简体" w:hAnsi="方正仿宋简体" w:eastAsia="方正仿宋简体" w:cs="方正仿宋简体"/>
          <w:b w:val="0"/>
          <w:bCs w:val="0"/>
          <w:color w:val="auto"/>
          <w:sz w:val="32"/>
          <w:szCs w:val="32"/>
          <w:lang w:val="en-US" w:eastAsia="zh-CN"/>
        </w:rPr>
        <w:t>法治环境、宜居环境、监督保护、法律责任、附则九</w:t>
      </w:r>
      <w:r>
        <w:rPr>
          <w:rFonts w:hint="eastAsia" w:ascii="方正仿宋简体" w:hAnsi="方正仿宋简体" w:eastAsia="方正仿宋简体" w:cs="方正仿宋简体"/>
          <w:b w:val="0"/>
          <w:bCs w:val="0"/>
          <w:color w:val="auto"/>
          <w:sz w:val="32"/>
          <w:szCs w:val="32"/>
        </w:rPr>
        <w:t>章，</w:t>
      </w:r>
      <w:r>
        <w:rPr>
          <w:rFonts w:hint="eastAsia" w:ascii="方正仿宋简体" w:hAnsi="方正仿宋简体" w:eastAsia="方正仿宋简体" w:cs="方正仿宋简体"/>
          <w:b w:val="0"/>
          <w:bCs w:val="0"/>
          <w:color w:val="auto"/>
          <w:sz w:val="32"/>
          <w:szCs w:val="32"/>
          <w:lang w:val="en-US" w:eastAsia="zh-CN"/>
        </w:rPr>
        <w:t>74</w:t>
      </w:r>
      <w:r>
        <w:rPr>
          <w:rFonts w:hint="eastAsia" w:ascii="方正仿宋简体" w:hAnsi="方正仿宋简体" w:eastAsia="方正仿宋简体" w:cs="方正仿宋简体"/>
          <w:b w:val="0"/>
          <w:bCs w:val="0"/>
          <w:color w:val="auto"/>
          <w:sz w:val="32"/>
          <w:szCs w:val="32"/>
        </w:rPr>
        <w:t>条。</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第一章“总则”，主要对立法目的</w:t>
      </w:r>
      <w:r>
        <w:rPr>
          <w:rFonts w:hint="eastAsia" w:ascii="方正仿宋简体" w:hAnsi="方正仿宋简体" w:eastAsia="方正仿宋简体" w:cs="方正仿宋简体"/>
          <w:b w:val="0"/>
          <w:bCs w:val="0"/>
          <w:color w:val="auto"/>
          <w:sz w:val="32"/>
          <w:szCs w:val="32"/>
          <w:lang w:val="en-US" w:eastAsia="zh-CN"/>
        </w:rPr>
        <w:t>与依据</w:t>
      </w:r>
      <w:r>
        <w:rPr>
          <w:rFonts w:hint="eastAsia" w:ascii="方正仿宋简体" w:hAnsi="方正仿宋简体" w:eastAsia="方正仿宋简体" w:cs="方正仿宋简体"/>
          <w:b w:val="0"/>
          <w:bCs w:val="0"/>
          <w:color w:val="auto"/>
          <w:sz w:val="32"/>
          <w:szCs w:val="32"/>
        </w:rPr>
        <w:t>、适用范围、</w:t>
      </w:r>
      <w:r>
        <w:rPr>
          <w:rFonts w:hint="eastAsia" w:ascii="方正仿宋简体" w:hAnsi="方正仿宋简体" w:eastAsia="方正仿宋简体" w:cs="方正仿宋简体"/>
          <w:b w:val="0"/>
          <w:bCs w:val="0"/>
          <w:color w:val="auto"/>
          <w:sz w:val="32"/>
          <w:szCs w:val="32"/>
          <w:lang w:val="en-US" w:eastAsia="zh-CN"/>
        </w:rPr>
        <w:t>基本</w:t>
      </w:r>
      <w:r>
        <w:rPr>
          <w:rFonts w:hint="eastAsia" w:ascii="方正仿宋简体" w:hAnsi="方正仿宋简体" w:eastAsia="方正仿宋简体" w:cs="方正仿宋简体"/>
          <w:b w:val="0"/>
          <w:bCs w:val="0"/>
          <w:color w:val="auto"/>
          <w:sz w:val="32"/>
          <w:szCs w:val="32"/>
        </w:rPr>
        <w:t>原则、管理职责、</w:t>
      </w:r>
      <w:r>
        <w:rPr>
          <w:rFonts w:hint="eastAsia" w:ascii="方正仿宋简体" w:hAnsi="方正仿宋简体" w:eastAsia="方正仿宋简体" w:cs="方正仿宋简体"/>
          <w:b w:val="0"/>
          <w:bCs w:val="0"/>
          <w:color w:val="auto"/>
          <w:sz w:val="32"/>
          <w:szCs w:val="32"/>
          <w:lang w:val="en-US" w:eastAsia="zh-CN"/>
        </w:rPr>
        <w:t>市场主体的地位与义务，先行先试与创新机制</w:t>
      </w:r>
      <w:r>
        <w:rPr>
          <w:rFonts w:hint="eastAsia" w:ascii="方正仿宋简体" w:hAnsi="方正仿宋简体" w:eastAsia="方正仿宋简体" w:cs="方正仿宋简体"/>
          <w:b w:val="0"/>
          <w:bCs w:val="0"/>
          <w:color w:val="auto"/>
          <w:sz w:val="32"/>
          <w:szCs w:val="32"/>
        </w:rPr>
        <w:t>、</w:t>
      </w:r>
      <w:r>
        <w:rPr>
          <w:rFonts w:hint="eastAsia" w:ascii="方正仿宋简体" w:hAnsi="方正仿宋简体" w:eastAsia="方正仿宋简体" w:cs="方正仿宋简体"/>
          <w:b w:val="0"/>
          <w:bCs w:val="0"/>
          <w:color w:val="auto"/>
          <w:sz w:val="32"/>
          <w:szCs w:val="32"/>
          <w:lang w:val="en-US" w:eastAsia="zh-CN"/>
        </w:rPr>
        <w:t>经济圈与区域协同发展、</w:t>
      </w:r>
      <w:r>
        <w:rPr>
          <w:rFonts w:hint="eastAsia" w:ascii="方正仿宋简体" w:hAnsi="方正仿宋简体" w:eastAsia="方正仿宋简体" w:cs="方正仿宋简体"/>
          <w:b w:val="0"/>
          <w:bCs w:val="0"/>
          <w:color w:val="auto"/>
          <w:sz w:val="32"/>
          <w:szCs w:val="32"/>
        </w:rPr>
        <w:t>激励机制</w:t>
      </w:r>
      <w:r>
        <w:rPr>
          <w:rFonts w:hint="eastAsia" w:ascii="方正仿宋简体" w:hAnsi="方正仿宋简体" w:eastAsia="方正仿宋简体" w:cs="方正仿宋简体"/>
          <w:b w:val="0"/>
          <w:bCs w:val="0"/>
          <w:color w:val="auto"/>
          <w:sz w:val="32"/>
          <w:szCs w:val="32"/>
          <w:lang w:val="en-US" w:eastAsia="zh-CN"/>
        </w:rPr>
        <w:t>与容错机制、评价体系的建立与完善、济宁企业家日的设立与目的、宣传教育</w:t>
      </w:r>
      <w:r>
        <w:rPr>
          <w:rFonts w:hint="eastAsia" w:ascii="方正仿宋简体" w:hAnsi="方正仿宋简体" w:eastAsia="方正仿宋简体" w:cs="方正仿宋简体"/>
          <w:b w:val="0"/>
          <w:bCs w:val="0"/>
          <w:color w:val="auto"/>
          <w:sz w:val="32"/>
          <w:szCs w:val="32"/>
        </w:rPr>
        <w:t>等内容进行了规定。</w:t>
      </w:r>
    </w:p>
    <w:p>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第二章“市场主体保护与培育”，</w:t>
      </w:r>
      <w:r>
        <w:rPr>
          <w:rFonts w:hint="eastAsia" w:ascii="方正仿宋简体" w:hAnsi="方正仿宋简体" w:eastAsia="方正仿宋简体" w:cs="方正仿宋简体"/>
          <w:b w:val="0"/>
          <w:bCs w:val="0"/>
          <w:color w:val="auto"/>
          <w:sz w:val="32"/>
          <w:szCs w:val="32"/>
          <w:lang w:val="en-US" w:eastAsia="zh-CN"/>
        </w:rPr>
        <w:t>主要</w:t>
      </w:r>
      <w:r>
        <w:rPr>
          <w:rFonts w:hint="eastAsia" w:ascii="方正仿宋简体" w:hAnsi="方正仿宋简体" w:eastAsia="方正仿宋简体" w:cs="方正仿宋简体"/>
          <w:b w:val="0"/>
          <w:bCs w:val="0"/>
          <w:color w:val="auto"/>
          <w:sz w:val="32"/>
          <w:szCs w:val="32"/>
        </w:rPr>
        <w:t>围绕市场主体升级壮大过程中所需要的各项支持和普遍面临的问题困难，对帮扶措施、生产要素流动、促进投资、优化创业环境、中小投资者保护、融资服务、人才培养、知识产权保护、行业协会等内容进行了规定。</w:t>
      </w:r>
    </w:p>
    <w:p>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第三章“市场环境”，</w:t>
      </w:r>
      <w:r>
        <w:rPr>
          <w:rFonts w:hint="eastAsia" w:ascii="方正仿宋简体" w:hAnsi="方正仿宋简体" w:eastAsia="方正仿宋简体" w:cs="方正仿宋简体"/>
          <w:b w:val="0"/>
          <w:bCs w:val="0"/>
          <w:color w:val="auto"/>
          <w:sz w:val="32"/>
          <w:szCs w:val="32"/>
          <w:lang w:val="en-US" w:eastAsia="zh-CN"/>
        </w:rPr>
        <w:t>主要</w:t>
      </w:r>
      <w:r>
        <w:rPr>
          <w:rFonts w:hint="eastAsia" w:ascii="方正仿宋简体" w:hAnsi="方正仿宋简体" w:eastAsia="方正仿宋简体" w:cs="方正仿宋简体"/>
          <w:b w:val="0"/>
          <w:bCs w:val="0"/>
          <w:color w:val="auto"/>
          <w:sz w:val="32"/>
          <w:szCs w:val="32"/>
        </w:rPr>
        <w:t>围绕优化市场环境，规范外部市场经济秩序，激发市场主体内生活力，对市场准入、“证照分离”、审监职责划分、“双反”、一业一证、减轻市场主体负担、行政事业性收费、公共资源交易、社会信用、人力资源市场、公用事业、破产工作机制等内容</w:t>
      </w:r>
      <w:r>
        <w:rPr>
          <w:rFonts w:hint="eastAsia" w:ascii="方正仿宋简体" w:hAnsi="方正仿宋简体" w:eastAsia="方正仿宋简体" w:cs="方正仿宋简体"/>
          <w:b w:val="0"/>
          <w:bCs w:val="0"/>
          <w:color w:val="auto"/>
          <w:sz w:val="32"/>
          <w:szCs w:val="32"/>
          <w:lang w:val="en-US" w:eastAsia="zh-CN"/>
        </w:rPr>
        <w:t>进行了</w:t>
      </w:r>
      <w:r>
        <w:rPr>
          <w:rFonts w:hint="eastAsia" w:ascii="方正仿宋简体" w:hAnsi="方正仿宋简体" w:eastAsia="方正仿宋简体" w:cs="方正仿宋简体"/>
          <w:b w:val="0"/>
          <w:bCs w:val="0"/>
          <w:color w:val="auto"/>
          <w:sz w:val="32"/>
          <w:szCs w:val="32"/>
        </w:rPr>
        <w:t>规定。</w:t>
      </w:r>
    </w:p>
    <w:p>
      <w:pPr>
        <w:keepNext w:val="0"/>
        <w:keepLines w:val="0"/>
        <w:pageBreakBefore w:val="0"/>
        <w:widowControl w:val="0"/>
        <w:kinsoku/>
        <w:wordWrap/>
        <w:overflowPunct/>
        <w:topLinePunct w:val="0"/>
        <w:autoSpaceDE/>
        <w:autoSpaceDN/>
        <w:bidi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第四章"政务服务”，主要围绕向市场主体提供更规范、更便利、更高效的政务服务，对政务服务事项的统一化、标准化、透明化、政务服务平台线上与线下的融合、数据共享、多元化、智能化办事渠道、电子证照的应用与推广等内容进行了规定，同时重点对投资项目与建设项目审批流程精简和多部门的协同、税务机关与不动产登记优化服务、政策宣传解读和政企沟通等内容进行了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第</w:t>
      </w:r>
      <w:r>
        <w:rPr>
          <w:rFonts w:hint="eastAsia" w:ascii="方正仿宋简体" w:hAnsi="方正仿宋简体" w:eastAsia="方正仿宋简体" w:cs="方正仿宋简体"/>
          <w:b w:val="0"/>
          <w:bCs w:val="0"/>
          <w:color w:val="auto"/>
          <w:sz w:val="32"/>
          <w:szCs w:val="32"/>
          <w:lang w:val="en-US" w:eastAsia="zh-CN"/>
        </w:rPr>
        <w:t>五</w:t>
      </w:r>
      <w:r>
        <w:rPr>
          <w:rFonts w:hint="eastAsia" w:ascii="方正仿宋简体" w:hAnsi="方正仿宋简体" w:eastAsia="方正仿宋简体" w:cs="方正仿宋简体"/>
          <w:b w:val="0"/>
          <w:bCs w:val="0"/>
          <w:color w:val="auto"/>
          <w:sz w:val="32"/>
          <w:szCs w:val="32"/>
        </w:rPr>
        <w:t>章“法治保障”</w:t>
      </w:r>
      <w:r>
        <w:rPr>
          <w:rFonts w:hint="eastAsia" w:ascii="方正仿宋简体" w:hAnsi="方正仿宋简体" w:eastAsia="方正仿宋简体" w:cs="方正仿宋简体"/>
          <w:b w:val="0"/>
          <w:bCs w:val="0"/>
          <w:color w:val="auto"/>
          <w:sz w:val="32"/>
          <w:szCs w:val="32"/>
          <w:lang w:eastAsia="zh-CN"/>
        </w:rPr>
        <w:t>，</w:t>
      </w:r>
      <w:r>
        <w:rPr>
          <w:rFonts w:hint="eastAsia" w:ascii="方正仿宋简体" w:hAnsi="方正仿宋简体" w:eastAsia="方正仿宋简体" w:cs="方正仿宋简体"/>
          <w:b w:val="0"/>
          <w:bCs w:val="0"/>
          <w:color w:val="auto"/>
          <w:sz w:val="32"/>
          <w:szCs w:val="32"/>
        </w:rPr>
        <w:t>主要围绕推进法治建设，营造公平公正的法治环境，对</w:t>
      </w:r>
      <w:r>
        <w:rPr>
          <w:rFonts w:hint="eastAsia" w:ascii="方正仿宋简体" w:hAnsi="方正仿宋简体" w:eastAsia="方正仿宋简体" w:cs="方正仿宋简体"/>
          <w:b w:val="0"/>
          <w:bCs w:val="0"/>
          <w:color w:val="auto"/>
          <w:sz w:val="32"/>
          <w:szCs w:val="32"/>
          <w:lang w:val="en-US" w:eastAsia="zh-CN"/>
        </w:rPr>
        <w:t>合法性审查、公平竞争审查、落实监管责任实现监管全覆盖、信用监管机制、差异化监管机制、行政执法公示制度、重大执法决定法制审核制度、制定行政处罚裁量基准规范自由裁量权、完善多元化纠纷解决机制、落实普法责任制</w:t>
      </w:r>
      <w:r>
        <w:rPr>
          <w:rFonts w:hint="eastAsia" w:ascii="方正仿宋简体" w:hAnsi="方正仿宋简体" w:eastAsia="方正仿宋简体" w:cs="方正仿宋简体"/>
          <w:b w:val="0"/>
          <w:bCs w:val="0"/>
          <w:color w:val="auto"/>
          <w:sz w:val="32"/>
          <w:szCs w:val="32"/>
        </w:rPr>
        <w:t>等</w:t>
      </w:r>
      <w:r>
        <w:rPr>
          <w:rFonts w:hint="eastAsia" w:ascii="方正仿宋简体" w:hAnsi="方正仿宋简体" w:eastAsia="方正仿宋简体" w:cs="方正仿宋简体"/>
          <w:b w:val="0"/>
          <w:bCs w:val="0"/>
          <w:color w:val="auto"/>
          <w:sz w:val="32"/>
          <w:szCs w:val="32"/>
          <w:lang w:val="en-US" w:eastAsia="zh-CN"/>
        </w:rPr>
        <w:t>内容</w:t>
      </w:r>
      <w:r>
        <w:rPr>
          <w:rFonts w:hint="eastAsia" w:ascii="方正仿宋简体" w:hAnsi="方正仿宋简体" w:eastAsia="方正仿宋简体" w:cs="方正仿宋简体"/>
          <w:b w:val="0"/>
          <w:bCs w:val="0"/>
          <w:color w:val="auto"/>
          <w:sz w:val="32"/>
          <w:szCs w:val="32"/>
        </w:rPr>
        <w:t>进行了规定。</w:t>
      </w:r>
    </w:p>
    <w:p>
      <w:pPr>
        <w:pStyle w:val="2"/>
        <w:keepNext w:val="0"/>
        <w:keepLines w:val="0"/>
        <w:pageBreakBefore w:val="0"/>
        <w:widowControl w:val="0"/>
        <w:kinsoku/>
        <w:wordWrap/>
        <w:overflowPunct/>
        <w:topLinePunct w:val="0"/>
        <w:autoSpaceDE/>
        <w:autoSpaceDN/>
        <w:bidi w:val="0"/>
        <w:spacing w:before="0" w:line="570" w:lineRule="exact"/>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 xml:space="preserve">    第六章 “宜居环境”，主要围绕文明济宁、绿色发展、创新驱动、新型智慧城市等方面，立足济宁营商环境实际情况，对传承精神、公共文化体系、生态文明建设、智慧城市、医疗保障、住房保障、城市交通建设、人文特色项目、国际交流等内容进行了规定。</w:t>
      </w:r>
    </w:p>
    <w:p>
      <w:pPr>
        <w:keepNext w:val="0"/>
        <w:keepLines w:val="0"/>
        <w:pageBreakBefore w:val="0"/>
        <w:widowControl w:val="0"/>
        <w:kinsoku/>
        <w:wordWrap/>
        <w:overflowPunct/>
        <w:topLinePunct w:val="0"/>
        <w:autoSpaceDE/>
        <w:autoSpaceDN/>
        <w:bidi w:val="0"/>
        <w:spacing w:line="570" w:lineRule="exact"/>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 xml:space="preserve">    第七章“监督保障”，主要围绕建立监督体系、监督制度和监督方式，对多元化的监督主体组成监督体系，切实保障政务服务的合规合法进行、建立监督员制度与监督主体形成监督合力、各渠道的监督联合保障行政诚信，维护营商环境的平稳运行等内容进行了规定。</w:t>
      </w:r>
    </w:p>
    <w:p>
      <w:pPr>
        <w:pStyle w:val="2"/>
        <w:keepNext w:val="0"/>
        <w:keepLines w:val="0"/>
        <w:pageBreakBefore w:val="0"/>
        <w:widowControl w:val="0"/>
        <w:kinsoku/>
        <w:wordWrap/>
        <w:overflowPunct/>
        <w:topLinePunct w:val="0"/>
        <w:autoSpaceDE/>
        <w:autoSpaceDN/>
        <w:bidi w:val="0"/>
        <w:spacing w:before="0" w:line="570" w:lineRule="exact"/>
        <w:textAlignment w:val="auto"/>
        <w:rPr>
          <w:rFonts w:hint="eastAsia" w:ascii="方正仿宋简体" w:hAnsi="方正仿宋简体" w:eastAsia="方正仿宋简体" w:cs="方正仿宋简体"/>
          <w:b w:val="0"/>
          <w:bCs w:val="0"/>
          <w:color w:val="auto"/>
          <w:sz w:val="32"/>
          <w:szCs w:val="32"/>
          <w:lang w:val="en-US" w:eastAsia="zh-CN"/>
        </w:rPr>
      </w:pPr>
      <w:r>
        <w:rPr>
          <w:rFonts w:hint="eastAsia" w:ascii="方正仿宋简体" w:hAnsi="方正仿宋简体" w:eastAsia="方正仿宋简体" w:cs="方正仿宋简体"/>
          <w:b w:val="0"/>
          <w:bCs w:val="0"/>
          <w:color w:val="auto"/>
          <w:sz w:val="32"/>
          <w:szCs w:val="32"/>
          <w:lang w:val="en-US" w:eastAsia="zh-CN"/>
        </w:rPr>
        <w:t xml:space="preserve">    第八章“法律责任”，主要围绕优化营商环境法律责任问题，对处罚情形、衔接条款、追责问题、容错纠错机制、公用企业、中介服务机构和行业协会商会责任等方面的内容进行了规定。</w:t>
      </w:r>
    </w:p>
    <w:p>
      <w:pPr>
        <w:keepNext w:val="0"/>
        <w:keepLines w:val="0"/>
        <w:pageBreakBefore w:val="0"/>
        <w:widowControl w:val="0"/>
        <w:kinsoku/>
        <w:wordWrap/>
        <w:overflowPunct/>
        <w:topLinePunct w:val="0"/>
        <w:autoSpaceDE/>
        <w:autoSpaceDN/>
        <w:bidi w:val="0"/>
        <w:adjustRightInd w:val="0"/>
        <w:snapToGrid w:val="0"/>
        <w:spacing w:line="570" w:lineRule="exact"/>
        <w:ind w:firstLine="640" w:firstLineChars="200"/>
        <w:textAlignment w:val="auto"/>
        <w:rPr>
          <w:rFonts w:hint="eastAsia" w:ascii="方正仿宋简体" w:hAnsi="方正仿宋简体" w:eastAsia="方正仿宋简体" w:cs="方正仿宋简体"/>
          <w:b w:val="0"/>
          <w:bCs w:val="0"/>
          <w:color w:val="auto"/>
          <w:sz w:val="32"/>
          <w:szCs w:val="32"/>
        </w:rPr>
      </w:pPr>
      <w:r>
        <w:rPr>
          <w:rFonts w:hint="eastAsia" w:ascii="方正仿宋简体" w:hAnsi="方正仿宋简体" w:eastAsia="方正仿宋简体" w:cs="方正仿宋简体"/>
          <w:b w:val="0"/>
          <w:bCs w:val="0"/>
          <w:color w:val="auto"/>
          <w:sz w:val="32"/>
          <w:szCs w:val="32"/>
        </w:rPr>
        <w:t>第</w:t>
      </w:r>
      <w:r>
        <w:rPr>
          <w:rFonts w:hint="eastAsia" w:ascii="方正仿宋简体" w:hAnsi="方正仿宋简体" w:eastAsia="方正仿宋简体" w:cs="方正仿宋简体"/>
          <w:b w:val="0"/>
          <w:bCs w:val="0"/>
          <w:color w:val="auto"/>
          <w:sz w:val="32"/>
          <w:szCs w:val="32"/>
          <w:lang w:val="en-US" w:eastAsia="zh-CN"/>
        </w:rPr>
        <w:t>九</w:t>
      </w:r>
      <w:r>
        <w:rPr>
          <w:rFonts w:hint="eastAsia" w:ascii="方正仿宋简体" w:hAnsi="方正仿宋简体" w:eastAsia="方正仿宋简体" w:cs="方正仿宋简体"/>
          <w:b w:val="0"/>
          <w:bCs w:val="0"/>
          <w:color w:val="auto"/>
          <w:sz w:val="32"/>
          <w:szCs w:val="32"/>
        </w:rPr>
        <w:t>章“附则”，规定了《条例》的实施日期。</w:t>
      </w:r>
    </w:p>
    <w:p>
      <w:pPr>
        <w:pStyle w:val="2"/>
        <w:keepNext w:val="0"/>
        <w:keepLines w:val="0"/>
        <w:pageBreakBefore w:val="0"/>
        <w:widowControl w:val="0"/>
        <w:kinsoku/>
        <w:wordWrap/>
        <w:overflowPunct/>
        <w:topLinePunct w:val="0"/>
        <w:autoSpaceDE/>
        <w:autoSpaceDN/>
        <w:bidi w:val="0"/>
        <w:spacing w:before="0" w:line="570" w:lineRule="exact"/>
        <w:textAlignment w:val="auto"/>
        <w:rPr>
          <w:rFonts w:hint="eastAsia" w:ascii="方正仿宋简体" w:hAnsi="方正仿宋简体" w:eastAsia="方正仿宋简体" w:cs="方正仿宋简体"/>
          <w:b w:val="0"/>
          <w:bCs w:val="0"/>
          <w:color w:val="auto"/>
          <w:sz w:val="32"/>
          <w:szCs w:val="32"/>
          <w:lang w:val="en-US" w:eastAsia="zh-CN"/>
        </w:rPr>
      </w:pPr>
    </w:p>
    <w:p>
      <w:pPr>
        <w:keepNext w:val="0"/>
        <w:keepLines w:val="0"/>
        <w:pageBreakBefore w:val="0"/>
        <w:widowControl w:val="0"/>
        <w:kinsoku/>
        <w:wordWrap/>
        <w:overflowPunct/>
        <w:topLinePunct w:val="0"/>
        <w:autoSpaceDE/>
        <w:autoSpaceDN/>
        <w:bidi w:val="0"/>
        <w:spacing w:line="570" w:lineRule="exact"/>
        <w:textAlignment w:val="auto"/>
        <w:rPr>
          <w:rFonts w:hint="eastAsia" w:ascii="方正仿宋简体" w:hAnsi="方正仿宋简体" w:eastAsia="方正仿宋简体" w:cs="方正仿宋简体"/>
          <w:b w:val="0"/>
          <w:bCs w:val="0"/>
          <w:color w:val="auto"/>
          <w:sz w:val="32"/>
          <w:szCs w:val="32"/>
          <w:lang w:val="en-US" w:eastAsia="zh-CN"/>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NiYTljNTBhOWZkMDFkMGNlZTg1NWRhYzMwMDhjYWIifQ=="/>
  </w:docVars>
  <w:rsids>
    <w:rsidRoot w:val="0DEF46E7"/>
    <w:rsid w:val="0DEF46E7"/>
    <w:rsid w:val="205B24B5"/>
    <w:rsid w:val="21366A74"/>
    <w:rsid w:val="289D2DC2"/>
    <w:rsid w:val="29517274"/>
    <w:rsid w:val="378B43A5"/>
    <w:rsid w:val="3AF30C63"/>
    <w:rsid w:val="456A0921"/>
    <w:rsid w:val="50C07F8E"/>
    <w:rsid w:val="5490391E"/>
    <w:rsid w:val="58C9188C"/>
    <w:rsid w:val="6E90446A"/>
    <w:rsid w:val="6EC417F6"/>
    <w:rsid w:val="710B2708"/>
    <w:rsid w:val="79393B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next w:val="1"/>
    <w:qFormat/>
    <w:uiPriority w:val="1"/>
    <w:pPr>
      <w:spacing w:before="6"/>
      <w:ind w:left="120"/>
    </w:pPr>
    <w:rPr>
      <w:sz w:val="30"/>
      <w:szCs w:val="30"/>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3660</Words>
  <Characters>3677</Characters>
  <Lines>0</Lines>
  <Paragraphs>0</Paragraphs>
  <TotalTime>10</TotalTime>
  <ScaleCrop>false</ScaleCrop>
  <LinksUpToDate>false</LinksUpToDate>
  <CharactersWithSpaces>3728</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2022-06-14T10:28:00Z</dcterms:created>
  <dc:creator>横条文</dc:creator>
  <cp:lastModifiedBy>大优优</cp:lastModifiedBy>
  <dcterms:modified xsi:type="dcterms:W3CDTF">2022-06-17T06:42:08Z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ICV">
    <vt:lpwstr>0B81BDF14C55447CBB2659C8B2C25016</vt:lpwstr>
  </property>
</Properties>
</file>